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95" w:rsidRPr="00B82647" w:rsidRDefault="00162295" w:rsidP="00162295">
      <w:pPr>
        <w:rPr>
          <w:rFonts w:ascii="標楷體" w:eastAsia="標楷體" w:hAnsi="標楷體"/>
          <w:color w:val="000000"/>
          <w:sz w:val="36"/>
          <w:szCs w:val="36"/>
        </w:rPr>
      </w:pPr>
      <w:r w:rsidRPr="00B82647">
        <w:rPr>
          <w:rFonts w:ascii="標楷體" w:eastAsia="標楷體" w:hAnsi="標楷體" w:hint="eastAsia"/>
          <w:color w:val="000000"/>
          <w:sz w:val="36"/>
          <w:szCs w:val="36"/>
        </w:rPr>
        <w:t>澎湖縣食品安全管理自治條例總說明</w:t>
      </w:r>
    </w:p>
    <w:p w:rsidR="00162295" w:rsidRPr="006C34AC" w:rsidRDefault="00162295" w:rsidP="00162295">
      <w:pPr>
        <w:overflowPunct w:val="0"/>
        <w:spacing w:line="460" w:lineRule="exact"/>
        <w:jc w:val="both"/>
        <w:textAlignment w:val="baseline"/>
        <w:rPr>
          <w:rFonts w:ascii="標楷體" w:eastAsia="標楷體" w:hAnsi="標楷體"/>
          <w:color w:val="000000"/>
          <w:sz w:val="28"/>
          <w:szCs w:val="28"/>
        </w:rPr>
      </w:pPr>
      <w:r>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ab/>
      </w:r>
      <w:r w:rsidRPr="006C34AC">
        <w:rPr>
          <w:rFonts w:ascii="標楷體" w:eastAsia="標楷體" w:hAnsi="標楷體" w:hint="eastAsia"/>
          <w:color w:val="000000"/>
          <w:sz w:val="28"/>
          <w:szCs w:val="28"/>
        </w:rPr>
        <w:t>提升澎湖縣(以下簡稱本縣)食品安全衛生管理效能，避免業者規避查核抽驗，澎湖縣政府整合行政資源跨局處，共同執行監督控管食品安全管理工作，明訂本縣上下游食品業者應善盡主動通報、預防性下架有危害之虞產品等責任義務，杜絕不安全食品流入消費市場。運用食品業者登錄資料之查核，落實食品鏈追溯追蹤預防的機制，確保消費者健康，</w:t>
      </w:r>
      <w:proofErr w:type="gramStart"/>
      <w:r w:rsidRPr="006C34AC">
        <w:rPr>
          <w:rFonts w:ascii="標楷體" w:eastAsia="標楷體" w:hAnsi="標楷體" w:hint="eastAsia"/>
          <w:color w:val="000000"/>
          <w:sz w:val="28"/>
          <w:szCs w:val="28"/>
        </w:rPr>
        <w:t>爰</w:t>
      </w:r>
      <w:proofErr w:type="gramEnd"/>
      <w:r>
        <w:rPr>
          <w:rFonts w:ascii="標楷體" w:eastAsia="標楷體" w:hAnsi="標楷體" w:hint="eastAsia"/>
          <w:color w:val="000000"/>
          <w:sz w:val="28"/>
          <w:szCs w:val="28"/>
        </w:rPr>
        <w:t>制定</w:t>
      </w:r>
      <w:r w:rsidRPr="006C34AC">
        <w:rPr>
          <w:rFonts w:ascii="標楷體" w:eastAsia="標楷體" w:hAnsi="標楷體" w:hint="eastAsia"/>
          <w:color w:val="000000"/>
          <w:sz w:val="28"/>
          <w:szCs w:val="28"/>
        </w:rPr>
        <w:t>「澎湖縣食品安全管理自治條例」，(以下簡稱本自治條例)，全文共計十</w:t>
      </w:r>
      <w:r>
        <w:rPr>
          <w:rFonts w:ascii="標楷體" w:eastAsia="標楷體" w:hAnsi="標楷體" w:hint="eastAsia"/>
          <w:color w:val="000000"/>
          <w:sz w:val="28"/>
          <w:szCs w:val="28"/>
        </w:rPr>
        <w:t>七</w:t>
      </w:r>
      <w:r w:rsidRPr="006C34AC">
        <w:rPr>
          <w:rFonts w:ascii="標楷體" w:eastAsia="標楷體" w:hAnsi="標楷體" w:hint="eastAsia"/>
          <w:color w:val="000000"/>
          <w:sz w:val="28"/>
          <w:szCs w:val="28"/>
        </w:rPr>
        <w:t>條，其要點如下：</w:t>
      </w:r>
    </w:p>
    <w:p w:rsidR="00162295" w:rsidRDefault="00162295" w:rsidP="00162295">
      <w:pPr>
        <w:pStyle w:val="a5"/>
        <w:numPr>
          <w:ilvl w:val="0"/>
          <w:numId w:val="2"/>
        </w:numPr>
        <w:kinsoku w:val="0"/>
        <w:overflowPunct w:val="0"/>
        <w:autoSpaceDE w:val="0"/>
        <w:autoSpaceDN w:val="0"/>
        <w:spacing w:line="460" w:lineRule="exact"/>
        <w:ind w:left="560" w:hangingChars="200" w:hanging="560"/>
        <w:jc w:val="both"/>
        <w:textAlignment w:val="baseline"/>
        <w:rPr>
          <w:rFonts w:ascii="標楷體" w:eastAsia="標楷體" w:hAnsi="標楷體"/>
          <w:sz w:val="28"/>
          <w:szCs w:val="28"/>
        </w:rPr>
      </w:pPr>
      <w:r w:rsidRPr="00BA04ED">
        <w:rPr>
          <w:rFonts w:ascii="標楷體" w:eastAsia="標楷體" w:hAnsi="標楷體" w:hint="eastAsia"/>
          <w:sz w:val="28"/>
          <w:szCs w:val="28"/>
        </w:rPr>
        <w:t>制定之目的。（第一條）</w:t>
      </w:r>
    </w:p>
    <w:p w:rsidR="00162295" w:rsidRDefault="00162295" w:rsidP="00162295">
      <w:pPr>
        <w:pStyle w:val="a5"/>
        <w:numPr>
          <w:ilvl w:val="0"/>
          <w:numId w:val="2"/>
        </w:numPr>
        <w:kinsoku w:val="0"/>
        <w:overflowPunct w:val="0"/>
        <w:autoSpaceDE w:val="0"/>
        <w:autoSpaceDN w:val="0"/>
        <w:spacing w:line="460" w:lineRule="exact"/>
        <w:ind w:left="560" w:hangingChars="200" w:hanging="560"/>
        <w:jc w:val="both"/>
        <w:textAlignment w:val="baseline"/>
        <w:rPr>
          <w:rFonts w:ascii="標楷體" w:eastAsia="標楷體" w:hAnsi="標楷體"/>
          <w:sz w:val="28"/>
          <w:szCs w:val="28"/>
        </w:rPr>
      </w:pPr>
      <w:r w:rsidRPr="00BA04ED">
        <w:rPr>
          <w:rFonts w:ascii="標楷體" w:eastAsia="標楷體" w:hAnsi="標楷體" w:hint="eastAsia"/>
          <w:sz w:val="28"/>
          <w:szCs w:val="28"/>
        </w:rPr>
        <w:t>主管機關及其權責區分之說明。（第二條）</w:t>
      </w:r>
    </w:p>
    <w:p w:rsidR="00162295" w:rsidRDefault="00162295" w:rsidP="00162295">
      <w:pPr>
        <w:pStyle w:val="a5"/>
        <w:numPr>
          <w:ilvl w:val="0"/>
          <w:numId w:val="2"/>
        </w:numPr>
        <w:kinsoku w:val="0"/>
        <w:overflowPunct w:val="0"/>
        <w:autoSpaceDE w:val="0"/>
        <w:autoSpaceDN w:val="0"/>
        <w:spacing w:line="460" w:lineRule="exact"/>
        <w:ind w:left="560" w:hangingChars="200" w:hanging="560"/>
        <w:jc w:val="both"/>
        <w:textAlignment w:val="baseline"/>
        <w:rPr>
          <w:rFonts w:ascii="標楷體" w:eastAsia="標楷體" w:hAnsi="標楷體"/>
          <w:sz w:val="28"/>
          <w:szCs w:val="28"/>
        </w:rPr>
      </w:pPr>
      <w:r w:rsidRPr="00BA04ED">
        <w:rPr>
          <w:rFonts w:ascii="標楷體" w:eastAsia="標楷體" w:hAnsi="標楷體" w:hint="eastAsia"/>
          <w:sz w:val="28"/>
          <w:szCs w:val="28"/>
        </w:rPr>
        <w:t>食品業者定義。（第三條）</w:t>
      </w:r>
    </w:p>
    <w:p w:rsidR="00162295" w:rsidRDefault="00162295" w:rsidP="00162295">
      <w:pPr>
        <w:pStyle w:val="a5"/>
        <w:numPr>
          <w:ilvl w:val="0"/>
          <w:numId w:val="2"/>
        </w:numPr>
        <w:kinsoku w:val="0"/>
        <w:overflowPunct w:val="0"/>
        <w:autoSpaceDE w:val="0"/>
        <w:autoSpaceDN w:val="0"/>
        <w:spacing w:line="460" w:lineRule="exact"/>
        <w:ind w:left="560" w:hangingChars="200" w:hanging="560"/>
        <w:jc w:val="both"/>
        <w:textAlignment w:val="baseline"/>
        <w:rPr>
          <w:rFonts w:ascii="標楷體" w:eastAsia="標楷體" w:hAnsi="標楷體"/>
          <w:sz w:val="28"/>
          <w:szCs w:val="28"/>
        </w:rPr>
      </w:pPr>
      <w:r w:rsidRPr="00BA04ED">
        <w:rPr>
          <w:rFonts w:ascii="標楷體" w:eastAsia="標楷體" w:hAnsi="標楷體" w:hint="eastAsia"/>
          <w:noProof/>
          <w:sz w:val="28"/>
          <w:szCs w:val="28"/>
        </w:rPr>
        <w:t>食品業者發現上游供應之食品及原料有危害或其產地有受原子塵或放射能污染之虞時，業者負有主動通報食品流向及禁止販售日本福島等</w:t>
      </w:r>
      <w:r>
        <w:rPr>
          <w:rFonts w:ascii="標楷體" w:eastAsia="標楷體" w:hAnsi="標楷體" w:hint="eastAsia"/>
          <w:noProof/>
          <w:sz w:val="28"/>
          <w:szCs w:val="28"/>
        </w:rPr>
        <w:t>五</w:t>
      </w:r>
      <w:r w:rsidRPr="00BA04ED">
        <w:rPr>
          <w:rFonts w:ascii="標楷體" w:eastAsia="標楷體" w:hAnsi="標楷體" w:hint="eastAsia"/>
          <w:noProof/>
          <w:sz w:val="28"/>
          <w:szCs w:val="28"/>
        </w:rPr>
        <w:t>縣市核災區食品，日本食品應出具進口提驗產地證明的義務，杜絕不安全食品流入消費市場。</w:t>
      </w:r>
      <w:r w:rsidRPr="00BA04ED">
        <w:rPr>
          <w:rFonts w:ascii="標楷體" w:eastAsia="標楷體" w:hAnsi="標楷體" w:hint="eastAsia"/>
          <w:sz w:val="28"/>
          <w:szCs w:val="28"/>
        </w:rPr>
        <w:t>（第四條）</w:t>
      </w:r>
    </w:p>
    <w:p w:rsidR="00162295" w:rsidRDefault="00162295" w:rsidP="00162295">
      <w:pPr>
        <w:pStyle w:val="a5"/>
        <w:numPr>
          <w:ilvl w:val="0"/>
          <w:numId w:val="2"/>
        </w:numPr>
        <w:kinsoku w:val="0"/>
        <w:overflowPunct w:val="0"/>
        <w:autoSpaceDE w:val="0"/>
        <w:autoSpaceDN w:val="0"/>
        <w:spacing w:line="460" w:lineRule="exact"/>
        <w:ind w:left="560" w:hangingChars="200" w:hanging="560"/>
        <w:jc w:val="both"/>
        <w:textAlignment w:val="baseline"/>
        <w:rPr>
          <w:rFonts w:ascii="標楷體" w:eastAsia="標楷體" w:hAnsi="標楷體"/>
          <w:sz w:val="28"/>
          <w:szCs w:val="28"/>
        </w:rPr>
      </w:pPr>
      <w:r w:rsidRPr="00BA04ED">
        <w:rPr>
          <w:rFonts w:ascii="標楷體" w:eastAsia="標楷體" w:hAnsi="標楷體" w:hint="eastAsia"/>
          <w:sz w:val="28"/>
          <w:szCs w:val="28"/>
        </w:rPr>
        <w:t>本府衛生局於接獲食品安全危害及疑慮之通報，於尚未</w:t>
      </w:r>
      <w:proofErr w:type="gramStart"/>
      <w:r w:rsidRPr="00BA04ED">
        <w:rPr>
          <w:rFonts w:ascii="標楷體" w:eastAsia="標楷體" w:hAnsi="標楷體" w:hint="eastAsia"/>
          <w:sz w:val="28"/>
          <w:szCs w:val="28"/>
        </w:rPr>
        <w:t>釐</w:t>
      </w:r>
      <w:proofErr w:type="gramEnd"/>
      <w:r w:rsidRPr="00BA04ED">
        <w:rPr>
          <w:rFonts w:ascii="標楷體" w:eastAsia="標楷體" w:hAnsi="標楷體" w:hint="eastAsia"/>
          <w:sz w:val="28"/>
          <w:szCs w:val="28"/>
        </w:rPr>
        <w:t>清其疑慮前，得要求業者自主性預防性下架食品。（第五條）</w:t>
      </w:r>
    </w:p>
    <w:p w:rsidR="00162295" w:rsidRPr="00AC1A17" w:rsidRDefault="00162295" w:rsidP="00162295">
      <w:pPr>
        <w:pStyle w:val="a5"/>
        <w:numPr>
          <w:ilvl w:val="0"/>
          <w:numId w:val="2"/>
        </w:numPr>
        <w:kinsoku w:val="0"/>
        <w:overflowPunct w:val="0"/>
        <w:autoSpaceDE w:val="0"/>
        <w:autoSpaceDN w:val="0"/>
        <w:spacing w:line="460" w:lineRule="exact"/>
        <w:ind w:left="560" w:hangingChars="200" w:hanging="560"/>
        <w:jc w:val="both"/>
        <w:textAlignment w:val="baseline"/>
        <w:rPr>
          <w:rFonts w:ascii="標楷體" w:eastAsia="標楷體" w:hAnsi="標楷體"/>
          <w:sz w:val="28"/>
          <w:szCs w:val="28"/>
        </w:rPr>
      </w:pPr>
      <w:r w:rsidRPr="00AC1A17">
        <w:rPr>
          <w:rFonts w:ascii="標楷體" w:eastAsia="標楷體" w:hAnsi="標楷體" w:hint="eastAsia"/>
          <w:sz w:val="28"/>
          <w:szCs w:val="28"/>
        </w:rPr>
        <w:t>規範本縣食品業者應符合食品良好衛生規範準則及公告類別、規模之食品業，應符合食品安全管制系統準則之規定。（第六條）</w:t>
      </w:r>
    </w:p>
    <w:p w:rsidR="00162295"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w:t>
      </w:r>
      <w:r w:rsidRPr="00CC557D">
        <w:rPr>
          <w:rFonts w:ascii="標楷體" w:eastAsia="標楷體" w:hAnsi="標楷體" w:hint="eastAsia"/>
          <w:sz w:val="28"/>
          <w:szCs w:val="28"/>
        </w:rPr>
        <w:t>經中央主管機關公告類別及規模之食品業者，應依食品業者登錄辦法之規定申請登錄，始得營業，食品業者完成登錄後，應於每年七月申報確認登錄內容。（第七條）</w:t>
      </w:r>
    </w:p>
    <w:p w:rsidR="00162295" w:rsidRPr="003C5053" w:rsidRDefault="00162295" w:rsidP="00162295">
      <w:pPr>
        <w:tabs>
          <w:tab w:val="left" w:pos="1843"/>
        </w:tabs>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八、</w:t>
      </w:r>
      <w:r w:rsidRPr="003C5053">
        <w:rPr>
          <w:rFonts w:ascii="標楷體" w:eastAsia="標楷體" w:hAnsi="標楷體" w:hint="eastAsia"/>
          <w:sz w:val="28"/>
          <w:szCs w:val="28"/>
        </w:rPr>
        <w:t>非屬中央主管機關</w:t>
      </w:r>
      <w:r w:rsidRPr="003C5053">
        <w:rPr>
          <w:rFonts w:ascii="標楷體" w:eastAsia="標楷體" w:hAnsi="標楷體" w:hint="eastAsia"/>
          <w:noProof/>
          <w:sz w:val="28"/>
          <w:szCs w:val="28"/>
        </w:rPr>
        <w:t>公告應建立食品追溯追蹤系統之</w:t>
      </w:r>
      <w:r w:rsidRPr="003C5053">
        <w:rPr>
          <w:rFonts w:ascii="標楷體" w:eastAsia="標楷體" w:hAnsi="標楷體" w:hint="eastAsia"/>
          <w:sz w:val="28"/>
          <w:szCs w:val="28"/>
        </w:rPr>
        <w:t>食品業者應建</w:t>
      </w:r>
    </w:p>
    <w:p w:rsidR="00162295" w:rsidRDefault="00162295" w:rsidP="00162295">
      <w:pPr>
        <w:tabs>
          <w:tab w:val="left" w:pos="1843"/>
        </w:tabs>
        <w:adjustRightInd w:val="0"/>
        <w:snapToGrid w:val="0"/>
        <w:spacing w:line="460" w:lineRule="exact"/>
        <w:rPr>
          <w:rFonts w:ascii="標楷體" w:eastAsia="標楷體" w:hAnsi="標楷體"/>
          <w:sz w:val="28"/>
          <w:szCs w:val="28"/>
        </w:rPr>
      </w:pPr>
      <w:r w:rsidRPr="003C5053">
        <w:rPr>
          <w:rFonts w:ascii="標楷體" w:eastAsia="標楷體" w:hAnsi="標楷體" w:hint="eastAsia"/>
          <w:sz w:val="28"/>
          <w:szCs w:val="28"/>
        </w:rPr>
        <w:t xml:space="preserve">    立食品來源、流向之追溯或追蹤及生產履歷等事項資料，應</w:t>
      </w:r>
      <w:r>
        <w:rPr>
          <w:rFonts w:ascii="標楷體" w:eastAsia="標楷體" w:hAnsi="標楷體" w:hint="eastAsia"/>
          <w:sz w:val="28"/>
          <w:szCs w:val="28"/>
        </w:rPr>
        <w:t>提</w:t>
      </w:r>
      <w:r w:rsidRPr="00F34D79">
        <w:rPr>
          <w:rFonts w:ascii="標楷體" w:eastAsia="標楷體" w:hAnsi="標楷體" w:hint="eastAsia"/>
          <w:sz w:val="28"/>
          <w:szCs w:val="28"/>
        </w:rPr>
        <w:t>供</w:t>
      </w:r>
    </w:p>
    <w:p w:rsidR="00162295" w:rsidRDefault="00162295" w:rsidP="00162295">
      <w:pPr>
        <w:tabs>
          <w:tab w:val="left" w:pos="1843"/>
        </w:tabs>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sidRPr="00F34D79">
        <w:rPr>
          <w:rFonts w:ascii="標楷體" w:eastAsia="標楷體" w:hAnsi="標楷體" w:hint="eastAsia"/>
          <w:sz w:val="28"/>
          <w:szCs w:val="28"/>
        </w:rPr>
        <w:t>單據等相關資料供主管機關備查。(第八條)</w:t>
      </w:r>
    </w:p>
    <w:p w:rsidR="00162295"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w:t>
      </w:r>
      <w:r w:rsidRPr="00F34D79">
        <w:rPr>
          <w:rFonts w:ascii="標楷體" w:eastAsia="標楷體" w:hAnsi="標楷體" w:hint="eastAsia"/>
          <w:sz w:val="28"/>
          <w:szCs w:val="28"/>
        </w:rPr>
        <w:t>規範食品業者針對庫存產品儲存及清理的責任。（第九條）</w:t>
      </w:r>
    </w:p>
    <w:p w:rsidR="00162295"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十、</w:t>
      </w:r>
      <w:r w:rsidRPr="00BA04ED">
        <w:rPr>
          <w:rFonts w:ascii="標楷體" w:eastAsia="標楷體" w:hAnsi="標楷體" w:hint="eastAsia"/>
          <w:sz w:val="28"/>
          <w:szCs w:val="28"/>
        </w:rPr>
        <w:t>為確保食品業者登錄資料最新且正確，</w:t>
      </w:r>
      <w:proofErr w:type="gramStart"/>
      <w:r w:rsidRPr="00BA04ED">
        <w:rPr>
          <w:rFonts w:ascii="標楷體" w:eastAsia="標楷體" w:hAnsi="標楷體" w:hint="eastAsia"/>
          <w:sz w:val="28"/>
          <w:szCs w:val="28"/>
        </w:rPr>
        <w:t>俾</w:t>
      </w:r>
      <w:proofErr w:type="gramEnd"/>
      <w:r w:rsidRPr="00BA04ED">
        <w:rPr>
          <w:rFonts w:ascii="標楷體" w:eastAsia="標楷體" w:hAnsi="標楷體" w:hint="eastAsia"/>
          <w:sz w:val="28"/>
          <w:szCs w:val="28"/>
        </w:rPr>
        <w:t>利追溯追蹤學校食材供應商，迅速掌握學校食品安全衛生</w:t>
      </w:r>
      <w:r w:rsidRPr="00BA04ED">
        <w:rPr>
          <w:rFonts w:ascii="標楷體" w:eastAsia="標楷體" w:hAnsi="標楷體" w:hint="eastAsia"/>
          <w:color w:val="000000"/>
          <w:sz w:val="28"/>
          <w:szCs w:val="28"/>
        </w:rPr>
        <w:t>。（第十條）</w:t>
      </w:r>
    </w:p>
    <w:p w:rsidR="00162295"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sz w:val="28"/>
          <w:szCs w:val="28"/>
        </w:rPr>
      </w:pPr>
      <w:r>
        <w:rPr>
          <w:rFonts w:ascii="標楷體" w:eastAsia="標楷體" w:hAnsi="標楷體" w:hint="eastAsia"/>
          <w:color w:val="000000"/>
          <w:sz w:val="28"/>
          <w:szCs w:val="28"/>
        </w:rPr>
        <w:t>十一、</w:t>
      </w:r>
      <w:r w:rsidRPr="00BA04ED">
        <w:rPr>
          <w:rFonts w:ascii="標楷體" w:eastAsia="標楷體" w:hAnsi="標楷體" w:hint="eastAsia"/>
          <w:color w:val="000000"/>
          <w:sz w:val="28"/>
          <w:szCs w:val="28"/>
        </w:rPr>
        <w:t>加強食品攤販業者食品登錄資料正確之維護，落實業者自主管</w:t>
      </w:r>
      <w:r w:rsidRPr="00BA04ED">
        <w:rPr>
          <w:rFonts w:ascii="標楷體" w:eastAsia="標楷體" w:hAnsi="標楷體" w:hint="eastAsia"/>
          <w:color w:val="000000"/>
          <w:sz w:val="28"/>
          <w:szCs w:val="28"/>
        </w:rPr>
        <w:lastRenderedPageBreak/>
        <w:t>理，提升食品安全管理。</w:t>
      </w:r>
      <w:r w:rsidRPr="00BA04ED">
        <w:rPr>
          <w:rFonts w:ascii="標楷體" w:eastAsia="標楷體" w:hAnsi="標楷體" w:hint="eastAsia"/>
          <w:sz w:val="28"/>
          <w:szCs w:val="28"/>
        </w:rPr>
        <w:t>（第十一條）</w:t>
      </w:r>
    </w:p>
    <w:p w:rsidR="00162295"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sz w:val="28"/>
          <w:szCs w:val="28"/>
        </w:rPr>
      </w:pPr>
      <w:r>
        <w:rPr>
          <w:rFonts w:ascii="標楷體" w:eastAsia="標楷體" w:hAnsi="標楷體" w:hint="eastAsia"/>
          <w:color w:val="000000"/>
          <w:sz w:val="28"/>
          <w:szCs w:val="28"/>
        </w:rPr>
        <w:t>十二、</w:t>
      </w:r>
      <w:r w:rsidRPr="00BA04ED">
        <w:rPr>
          <w:rFonts w:ascii="標楷體" w:eastAsia="標楷體" w:hAnsi="標楷體" w:hint="eastAsia"/>
          <w:color w:val="000000"/>
          <w:sz w:val="28"/>
          <w:szCs w:val="28"/>
        </w:rPr>
        <w:t>針對本縣未上市農、畜、禽、水產品源頭管理，避免不合格之食品流入市面，降低食品安全事件發生。</w:t>
      </w:r>
      <w:r w:rsidRPr="00BA04ED">
        <w:rPr>
          <w:rFonts w:ascii="標楷體" w:eastAsia="標楷體" w:hAnsi="標楷體" w:hint="eastAsia"/>
          <w:sz w:val="28"/>
          <w:szCs w:val="28"/>
        </w:rPr>
        <w:t>（第十二條</w:t>
      </w:r>
      <w:r w:rsidRPr="00BA04ED">
        <w:rPr>
          <w:rFonts w:ascii="標楷體" w:eastAsia="標楷體" w:hAnsi="標楷體"/>
          <w:sz w:val="28"/>
          <w:szCs w:val="28"/>
        </w:rPr>
        <w:t>）</w:t>
      </w:r>
    </w:p>
    <w:p w:rsidR="00162295"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sz w:val="28"/>
          <w:szCs w:val="28"/>
        </w:rPr>
      </w:pPr>
      <w:r>
        <w:rPr>
          <w:rFonts w:ascii="標楷體" w:eastAsia="標楷體" w:hAnsi="標楷體" w:hint="eastAsia"/>
          <w:color w:val="000000"/>
          <w:sz w:val="28"/>
          <w:szCs w:val="28"/>
        </w:rPr>
        <w:t>十三、</w:t>
      </w:r>
      <w:r w:rsidRPr="00CC557D">
        <w:rPr>
          <w:rFonts w:ascii="標楷體" w:eastAsia="標楷體" w:hAnsi="標楷體" w:hint="eastAsia"/>
          <w:color w:val="000000"/>
          <w:sz w:val="28"/>
          <w:szCs w:val="28"/>
        </w:rPr>
        <w:t>本府應獎勵舉發重大違反食品安全衛生管理法案件之檢舉人，並保密檢舉人個人資料。</w:t>
      </w:r>
      <w:r w:rsidRPr="00CC557D">
        <w:rPr>
          <w:rFonts w:ascii="標楷體" w:eastAsia="標楷體" w:hAnsi="標楷體" w:hint="eastAsia"/>
          <w:sz w:val="28"/>
          <w:szCs w:val="28"/>
        </w:rPr>
        <w:t>（第十三條）</w:t>
      </w:r>
    </w:p>
    <w:p w:rsidR="00162295" w:rsidRPr="00CC557D" w:rsidRDefault="00162295" w:rsidP="00162295">
      <w:pPr>
        <w:pStyle w:val="a5"/>
        <w:kinsoku w:val="0"/>
        <w:overflowPunct w:val="0"/>
        <w:autoSpaceDE w:val="0"/>
        <w:autoSpaceDN w:val="0"/>
        <w:spacing w:line="460" w:lineRule="exact"/>
        <w:ind w:left="560" w:hangingChars="200" w:hanging="560"/>
        <w:jc w:val="both"/>
        <w:rPr>
          <w:rFonts w:ascii="標楷體" w:eastAsia="標楷體" w:hAnsi="標楷體"/>
          <w:sz w:val="28"/>
          <w:szCs w:val="28"/>
        </w:rPr>
      </w:pPr>
      <w:r w:rsidRPr="00CC557D">
        <w:rPr>
          <w:rFonts w:ascii="標楷體" w:eastAsia="標楷體" w:hAnsi="標楷體" w:hint="eastAsia"/>
          <w:sz w:val="28"/>
          <w:szCs w:val="28"/>
        </w:rPr>
        <w:t>十四、</w:t>
      </w:r>
      <w:r w:rsidRPr="00386CEC">
        <w:rPr>
          <w:rFonts w:ascii="標楷體" w:eastAsia="標楷體" w:hAnsi="標楷體" w:hint="eastAsia"/>
          <w:noProof/>
          <w:sz w:val="28"/>
          <w:szCs w:val="28"/>
        </w:rPr>
        <w:t>違反第四條</w:t>
      </w:r>
      <w:r w:rsidRPr="003D5647">
        <w:rPr>
          <w:rFonts w:ascii="標楷體" w:eastAsia="標楷體" w:hAnsi="標楷體" w:hint="eastAsia"/>
          <w:sz w:val="28"/>
          <w:szCs w:val="28"/>
        </w:rPr>
        <w:t>第二項或第四項、</w:t>
      </w:r>
      <w:r w:rsidRPr="003D5647">
        <w:rPr>
          <w:rFonts w:ascii="標楷體" w:eastAsia="標楷體" w:hAnsi="標楷體" w:hint="eastAsia"/>
          <w:noProof/>
          <w:sz w:val="28"/>
          <w:szCs w:val="28"/>
        </w:rPr>
        <w:t>第</w:t>
      </w:r>
      <w:r w:rsidRPr="00386CEC">
        <w:rPr>
          <w:rFonts w:ascii="標楷體" w:eastAsia="標楷體" w:hAnsi="標楷體" w:hint="eastAsia"/>
          <w:noProof/>
          <w:sz w:val="28"/>
          <w:szCs w:val="28"/>
        </w:rPr>
        <w:t>八條、第十二條規定之處罰。</w:t>
      </w:r>
      <w:r w:rsidRPr="00386CEC">
        <w:rPr>
          <w:rFonts w:ascii="標楷體" w:eastAsia="標楷體" w:hAnsi="標楷體" w:hint="eastAsia"/>
          <w:sz w:val="28"/>
          <w:szCs w:val="28"/>
        </w:rPr>
        <w:t>(第十四條)</w:t>
      </w:r>
    </w:p>
    <w:p w:rsidR="00162295" w:rsidRDefault="00162295" w:rsidP="00162295">
      <w:pPr>
        <w:tabs>
          <w:tab w:val="left" w:pos="9214"/>
        </w:tabs>
        <w:adjustRightInd w:val="0"/>
        <w:snapToGrid w:val="0"/>
        <w:spacing w:line="460" w:lineRule="exact"/>
        <w:jc w:val="both"/>
        <w:rPr>
          <w:rFonts w:ascii="標楷體" w:eastAsia="標楷體" w:hAnsi="標楷體"/>
          <w:sz w:val="28"/>
          <w:szCs w:val="28"/>
        </w:rPr>
      </w:pPr>
      <w:r w:rsidRPr="00CC557D">
        <w:rPr>
          <w:rFonts w:ascii="標楷體" w:eastAsia="標楷體" w:hAnsi="標楷體" w:hint="eastAsia"/>
          <w:sz w:val="28"/>
          <w:szCs w:val="28"/>
        </w:rPr>
        <w:t>十五、違反本自治條例</w:t>
      </w:r>
      <w:r w:rsidRPr="00CC557D">
        <w:rPr>
          <w:rFonts w:ascii="標楷體" w:eastAsia="標楷體" w:hAnsi="標楷體" w:hint="eastAsia"/>
          <w:color w:val="000000"/>
          <w:sz w:val="28"/>
          <w:szCs w:val="28"/>
        </w:rPr>
        <w:t>第</w:t>
      </w:r>
      <w:r>
        <w:rPr>
          <w:rFonts w:ascii="標楷體" w:eastAsia="標楷體" w:hAnsi="標楷體" w:hint="eastAsia"/>
          <w:color w:val="000000"/>
          <w:sz w:val="28"/>
          <w:szCs w:val="28"/>
        </w:rPr>
        <w:t>六</w:t>
      </w:r>
      <w:r w:rsidRPr="00CC557D">
        <w:rPr>
          <w:rFonts w:ascii="標楷體" w:eastAsia="標楷體" w:hAnsi="標楷體" w:hint="eastAsia"/>
          <w:color w:val="000000"/>
          <w:sz w:val="28"/>
          <w:szCs w:val="28"/>
        </w:rPr>
        <w:t>條、第</w:t>
      </w:r>
      <w:r>
        <w:rPr>
          <w:rFonts w:ascii="標楷體" w:eastAsia="標楷體" w:hAnsi="標楷體" w:hint="eastAsia"/>
          <w:color w:val="000000"/>
          <w:sz w:val="28"/>
          <w:szCs w:val="28"/>
        </w:rPr>
        <w:t>七</w:t>
      </w:r>
      <w:r w:rsidRPr="00CC557D">
        <w:rPr>
          <w:rFonts w:ascii="標楷體" w:eastAsia="標楷體" w:hAnsi="標楷體" w:hint="eastAsia"/>
          <w:color w:val="000000"/>
          <w:sz w:val="28"/>
          <w:szCs w:val="28"/>
        </w:rPr>
        <w:t>條</w:t>
      </w:r>
      <w:r w:rsidRPr="005D156F">
        <w:rPr>
          <w:rFonts w:ascii="標楷體" w:eastAsia="標楷體" w:hAnsi="標楷體" w:hint="eastAsia"/>
          <w:sz w:val="28"/>
          <w:szCs w:val="28"/>
        </w:rPr>
        <w:t>、第九條規</w:t>
      </w:r>
      <w:r w:rsidRPr="00CC557D">
        <w:rPr>
          <w:rFonts w:ascii="標楷體" w:eastAsia="標楷體" w:hAnsi="標楷體" w:hint="eastAsia"/>
          <w:color w:val="000000"/>
          <w:sz w:val="28"/>
          <w:szCs w:val="28"/>
        </w:rPr>
        <w:t>定</w:t>
      </w:r>
      <w:r w:rsidRPr="00CC557D">
        <w:rPr>
          <w:rFonts w:ascii="標楷體" w:eastAsia="標楷體" w:hAnsi="標楷體" w:hint="eastAsia"/>
          <w:sz w:val="28"/>
          <w:szCs w:val="28"/>
        </w:rPr>
        <w:t>之罰則。(第</w:t>
      </w:r>
    </w:p>
    <w:p w:rsidR="00162295" w:rsidRDefault="00162295" w:rsidP="00162295">
      <w:pPr>
        <w:tabs>
          <w:tab w:val="left" w:pos="9214"/>
        </w:tabs>
        <w:adjustRightInd w:val="0"/>
        <w:snapToGrid w:val="0"/>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Pr="00CC557D">
        <w:rPr>
          <w:rFonts w:ascii="標楷體" w:eastAsia="標楷體" w:hAnsi="標楷體" w:hint="eastAsia"/>
          <w:sz w:val="28"/>
          <w:szCs w:val="28"/>
        </w:rPr>
        <w:t>十五條)</w:t>
      </w:r>
    </w:p>
    <w:p w:rsidR="00162295" w:rsidRPr="00386CEC" w:rsidRDefault="00162295" w:rsidP="00162295">
      <w:pPr>
        <w:tabs>
          <w:tab w:val="left" w:pos="9214"/>
        </w:tabs>
        <w:adjustRightInd w:val="0"/>
        <w:snapToGrid w:val="0"/>
        <w:spacing w:line="460" w:lineRule="exact"/>
        <w:jc w:val="both"/>
        <w:rPr>
          <w:rFonts w:ascii="標楷體" w:eastAsia="標楷體" w:hAnsi="標楷體"/>
          <w:sz w:val="28"/>
          <w:szCs w:val="28"/>
        </w:rPr>
      </w:pPr>
      <w:r w:rsidRPr="00386CEC">
        <w:rPr>
          <w:rFonts w:ascii="標楷體" w:eastAsia="標楷體" w:hAnsi="標楷體" w:hint="eastAsia"/>
          <w:sz w:val="28"/>
          <w:szCs w:val="28"/>
        </w:rPr>
        <w:t>十六、</w:t>
      </w:r>
      <w:r w:rsidRPr="00386CEC">
        <w:rPr>
          <w:rFonts w:ascii="標楷體" w:eastAsia="標楷體" w:hAnsi="標楷體" w:hint="eastAsia"/>
          <w:noProof/>
          <w:sz w:val="28"/>
          <w:szCs w:val="28"/>
        </w:rPr>
        <w:t>違反第四條</w:t>
      </w:r>
      <w:r w:rsidRPr="003D5647">
        <w:rPr>
          <w:rFonts w:ascii="標楷體" w:eastAsia="標楷體" w:hAnsi="標楷體" w:hint="eastAsia"/>
          <w:sz w:val="28"/>
          <w:szCs w:val="28"/>
        </w:rPr>
        <w:t>第三項</w:t>
      </w:r>
      <w:r w:rsidRPr="00386CEC">
        <w:rPr>
          <w:rFonts w:ascii="標楷體" w:eastAsia="標楷體" w:hAnsi="標楷體" w:hint="eastAsia"/>
          <w:noProof/>
          <w:sz w:val="28"/>
          <w:szCs w:val="28"/>
        </w:rPr>
        <w:t>規定之處罰</w:t>
      </w:r>
      <w:r w:rsidRPr="00386CEC">
        <w:rPr>
          <w:rFonts w:ascii="標楷體" w:eastAsia="標楷體" w:hAnsi="標楷體" w:hint="eastAsia"/>
          <w:sz w:val="28"/>
          <w:szCs w:val="28"/>
        </w:rPr>
        <w:t xml:space="preserve">。(第十六條) </w:t>
      </w:r>
    </w:p>
    <w:p w:rsidR="00162295" w:rsidRPr="00386CEC" w:rsidRDefault="00162295" w:rsidP="00162295">
      <w:pPr>
        <w:tabs>
          <w:tab w:val="left" w:pos="9214"/>
        </w:tabs>
        <w:adjustRightInd w:val="0"/>
        <w:snapToGrid w:val="0"/>
        <w:spacing w:line="460" w:lineRule="exact"/>
        <w:jc w:val="both"/>
        <w:rPr>
          <w:rFonts w:ascii="標楷體" w:eastAsia="標楷體" w:hAnsi="標楷體"/>
          <w:sz w:val="28"/>
          <w:szCs w:val="28"/>
        </w:rPr>
      </w:pPr>
      <w:r w:rsidRPr="00386CEC">
        <w:rPr>
          <w:rFonts w:ascii="標楷體" w:eastAsia="標楷體" w:hAnsi="標楷體" w:hint="eastAsia"/>
          <w:sz w:val="28"/>
          <w:szCs w:val="28"/>
        </w:rPr>
        <w:t>十七、本自治條例施行日期。(第十七條)</w:t>
      </w: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hint="eastAsia"/>
          <w:color w:val="000000"/>
          <w:sz w:val="36"/>
          <w:szCs w:val="36"/>
        </w:rPr>
      </w:pPr>
    </w:p>
    <w:p w:rsidR="00162295" w:rsidRDefault="00162295" w:rsidP="00162295">
      <w:pPr>
        <w:pStyle w:val="a5"/>
        <w:kinsoku w:val="0"/>
        <w:overflowPunct w:val="0"/>
        <w:autoSpaceDE w:val="0"/>
        <w:autoSpaceDN w:val="0"/>
        <w:spacing w:line="460" w:lineRule="exact"/>
        <w:jc w:val="center"/>
        <w:rPr>
          <w:rFonts w:ascii="標楷體" w:eastAsia="標楷體" w:hAnsi="標楷體" w:hint="eastAsia"/>
          <w:color w:val="000000"/>
          <w:kern w:val="0"/>
          <w:sz w:val="36"/>
          <w:szCs w:val="36"/>
        </w:rPr>
      </w:pPr>
    </w:p>
    <w:p w:rsidR="00162295" w:rsidRDefault="00162295" w:rsidP="00162295">
      <w:pPr>
        <w:pStyle w:val="a5"/>
        <w:kinsoku w:val="0"/>
        <w:overflowPunct w:val="0"/>
        <w:autoSpaceDE w:val="0"/>
        <w:autoSpaceDN w:val="0"/>
        <w:spacing w:line="460" w:lineRule="exact"/>
        <w:jc w:val="center"/>
        <w:rPr>
          <w:rFonts w:ascii="標楷體" w:eastAsia="標楷體" w:hAnsi="標楷體"/>
          <w:color w:val="000000"/>
          <w:sz w:val="36"/>
          <w:szCs w:val="36"/>
        </w:rPr>
      </w:pPr>
    </w:p>
    <w:p w:rsidR="00162295" w:rsidRPr="00B82647" w:rsidRDefault="00162295" w:rsidP="00162295">
      <w:pPr>
        <w:pStyle w:val="a5"/>
        <w:kinsoku w:val="0"/>
        <w:overflowPunct w:val="0"/>
        <w:autoSpaceDE w:val="0"/>
        <w:autoSpaceDN w:val="0"/>
        <w:spacing w:line="460" w:lineRule="exact"/>
        <w:rPr>
          <w:rFonts w:ascii="標楷體" w:eastAsia="標楷體" w:hAnsi="標楷體"/>
          <w:b/>
          <w:color w:val="000000"/>
          <w:sz w:val="36"/>
          <w:szCs w:val="36"/>
        </w:rPr>
      </w:pPr>
      <w:r w:rsidRPr="00B82647">
        <w:rPr>
          <w:rFonts w:ascii="標楷體" w:eastAsia="標楷體" w:hAnsi="標楷體" w:hint="eastAsia"/>
          <w:color w:val="000000"/>
          <w:sz w:val="36"/>
          <w:szCs w:val="36"/>
        </w:rPr>
        <w:lastRenderedPageBreak/>
        <w:t>澎湖縣食品安全管理自治條例</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7"/>
        <w:gridCol w:w="4641"/>
      </w:tblGrid>
      <w:tr w:rsidR="00162295" w:rsidRPr="006A2F25" w:rsidTr="002A1733">
        <w:trPr>
          <w:jc w:val="center"/>
        </w:trPr>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162295" w:rsidRPr="006A2F25" w:rsidRDefault="00162295" w:rsidP="002A1733">
            <w:pPr>
              <w:overflowPunct w:val="0"/>
              <w:jc w:val="center"/>
              <w:rPr>
                <w:rFonts w:ascii="標楷體" w:eastAsia="標楷體" w:hAnsi="標楷體"/>
                <w:szCs w:val="24"/>
              </w:rPr>
            </w:pPr>
            <w:r w:rsidRPr="006A2F25">
              <w:rPr>
                <w:rFonts w:ascii="標楷體" w:eastAsia="標楷體" w:hAnsi="標楷體"/>
                <w:szCs w:val="24"/>
              </w:rPr>
              <w:t>條</w:t>
            </w:r>
            <w:r w:rsidRPr="006A2F25">
              <w:rPr>
                <w:rFonts w:ascii="標楷體" w:eastAsia="標楷體" w:hAnsi="標楷體" w:hint="eastAsia"/>
                <w:szCs w:val="24"/>
              </w:rPr>
              <w:t xml:space="preserve">  </w:t>
            </w:r>
            <w:r w:rsidRPr="006A2F25">
              <w:rPr>
                <w:rFonts w:ascii="標楷體" w:eastAsia="標楷體" w:hAnsi="標楷體"/>
                <w:szCs w:val="24"/>
              </w:rPr>
              <w:t>文</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162295" w:rsidRPr="006A2F25" w:rsidRDefault="00162295" w:rsidP="002A1733">
            <w:pPr>
              <w:overflowPunct w:val="0"/>
              <w:jc w:val="center"/>
              <w:rPr>
                <w:rFonts w:ascii="標楷體" w:eastAsia="標楷體" w:hAnsi="標楷體"/>
                <w:szCs w:val="24"/>
              </w:rPr>
            </w:pPr>
            <w:r w:rsidRPr="006A2F25">
              <w:rPr>
                <w:rFonts w:ascii="標楷體" w:eastAsia="標楷體" w:hAnsi="標楷體"/>
                <w:szCs w:val="24"/>
              </w:rPr>
              <w:t>說</w:t>
            </w:r>
            <w:r w:rsidRPr="006A2F25">
              <w:rPr>
                <w:rFonts w:ascii="標楷體" w:eastAsia="標楷體" w:hAnsi="標楷體" w:hint="eastAsia"/>
                <w:szCs w:val="24"/>
              </w:rPr>
              <w:t xml:space="preserve">  </w:t>
            </w:r>
            <w:r w:rsidRPr="006A2F25">
              <w:rPr>
                <w:rFonts w:ascii="標楷體" w:eastAsia="標楷體" w:hAnsi="標楷體"/>
                <w:szCs w:val="24"/>
              </w:rPr>
              <w:t>明</w:t>
            </w:r>
          </w:p>
        </w:tc>
      </w:tr>
      <w:tr w:rsidR="00162295" w:rsidRPr="006A2F25" w:rsidTr="002A1733">
        <w:trPr>
          <w:jc w:val="center"/>
        </w:trPr>
        <w:tc>
          <w:tcPr>
            <w:tcW w:w="5067" w:type="dxa"/>
            <w:shd w:val="clear" w:color="auto" w:fill="auto"/>
          </w:tcPr>
          <w:p w:rsidR="00162295" w:rsidRPr="001F5D0B" w:rsidRDefault="00162295" w:rsidP="002A1733">
            <w:pPr>
              <w:tabs>
                <w:tab w:val="left" w:pos="9214"/>
              </w:tabs>
              <w:adjustRightInd w:val="0"/>
              <w:snapToGrid w:val="0"/>
              <w:ind w:left="200" w:hangingChars="100" w:hanging="200"/>
              <w:jc w:val="both"/>
              <w:rPr>
                <w:rFonts w:ascii="標楷體" w:eastAsia="標楷體" w:hAnsi="標楷體"/>
                <w:szCs w:val="24"/>
              </w:rPr>
            </w:pPr>
            <w:r w:rsidRPr="00725535">
              <w:rPr>
                <w:rFonts w:ascii="標楷體" w:eastAsia="標楷體" w:hAnsi="標楷體" w:hint="eastAsia"/>
                <w:szCs w:val="24"/>
              </w:rPr>
              <w:t>第一條</w:t>
            </w:r>
            <w:r>
              <w:rPr>
                <w:rFonts w:ascii="標楷體" w:eastAsia="標楷體" w:hAnsi="標楷體" w:hint="eastAsia"/>
                <w:szCs w:val="24"/>
              </w:rPr>
              <w:t xml:space="preserve"> </w:t>
            </w:r>
            <w:r w:rsidRPr="00725535">
              <w:rPr>
                <w:rFonts w:ascii="標楷體" w:eastAsia="標楷體" w:hAnsi="標楷體" w:hint="eastAsia"/>
                <w:szCs w:val="24"/>
              </w:rPr>
              <w:t>澎湖縣(以下簡稱本縣)為加強保障民眾食品安全，特制定本自治條例。</w:t>
            </w:r>
          </w:p>
        </w:tc>
        <w:tc>
          <w:tcPr>
            <w:tcW w:w="4641" w:type="dxa"/>
            <w:shd w:val="clear" w:color="auto" w:fill="auto"/>
          </w:tcPr>
          <w:p w:rsidR="00162295" w:rsidRPr="00725535" w:rsidRDefault="00162295" w:rsidP="002A1733">
            <w:pPr>
              <w:widowControl/>
              <w:overflowPunct w:val="0"/>
              <w:rPr>
                <w:rFonts w:ascii="標楷體" w:eastAsia="標楷體" w:hAnsi="標楷體"/>
                <w:szCs w:val="24"/>
              </w:rPr>
            </w:pPr>
            <w:r w:rsidRPr="00725535">
              <w:rPr>
                <w:rFonts w:ascii="標楷體" w:eastAsia="標楷體" w:hAnsi="標楷體" w:hint="eastAsia"/>
                <w:szCs w:val="24"/>
              </w:rPr>
              <w:t>本自</w:t>
            </w:r>
            <w:r>
              <w:rPr>
                <w:rFonts w:ascii="標楷體" w:eastAsia="標楷體" w:hAnsi="標楷體" w:hint="eastAsia"/>
                <w:szCs w:val="24"/>
              </w:rPr>
              <w:t>治</w:t>
            </w:r>
            <w:r w:rsidRPr="00725535">
              <w:rPr>
                <w:rFonts w:ascii="標楷體" w:eastAsia="標楷體" w:hAnsi="標楷體" w:hint="eastAsia"/>
                <w:szCs w:val="24"/>
              </w:rPr>
              <w:t>條例</w:t>
            </w:r>
            <w:r w:rsidRPr="00AC11FC">
              <w:rPr>
                <w:rFonts w:ascii="標楷體" w:eastAsia="標楷體" w:hAnsi="標楷體" w:hint="eastAsia"/>
                <w:color w:val="000000"/>
                <w:szCs w:val="24"/>
              </w:rPr>
              <w:t>制</w:t>
            </w:r>
            <w:r w:rsidRPr="00725535">
              <w:rPr>
                <w:rFonts w:ascii="標楷體" w:eastAsia="標楷體" w:hAnsi="標楷體" w:hint="eastAsia"/>
                <w:szCs w:val="24"/>
              </w:rPr>
              <w:t>定之目的。</w:t>
            </w:r>
          </w:p>
          <w:p w:rsidR="00162295" w:rsidRPr="00725535" w:rsidRDefault="00162295" w:rsidP="002A1733">
            <w:pPr>
              <w:pStyle w:val="a4"/>
              <w:widowControl/>
              <w:overflowPunct w:val="0"/>
              <w:ind w:leftChars="0" w:left="713"/>
              <w:jc w:val="both"/>
              <w:rPr>
                <w:rFonts w:ascii="標楷體" w:eastAsia="標楷體" w:hAnsi="標楷體"/>
                <w:szCs w:val="24"/>
              </w:rPr>
            </w:pPr>
          </w:p>
        </w:tc>
      </w:tr>
      <w:tr w:rsidR="00162295" w:rsidRPr="006A2F25" w:rsidTr="002A1733">
        <w:trPr>
          <w:jc w:val="center"/>
        </w:trPr>
        <w:tc>
          <w:tcPr>
            <w:tcW w:w="5067" w:type="dxa"/>
            <w:shd w:val="clear" w:color="auto" w:fill="auto"/>
          </w:tcPr>
          <w:p w:rsidR="00162295" w:rsidRPr="00C6732F" w:rsidRDefault="00162295" w:rsidP="002A1733">
            <w:pPr>
              <w:tabs>
                <w:tab w:val="left" w:pos="9214"/>
              </w:tabs>
              <w:adjustRightInd w:val="0"/>
              <w:snapToGrid w:val="0"/>
              <w:ind w:left="200" w:hangingChars="100" w:hanging="200"/>
              <w:jc w:val="both"/>
              <w:rPr>
                <w:rFonts w:ascii="標楷體" w:eastAsia="標楷體" w:hAnsi="標楷體" w:hint="eastAsia"/>
              </w:rPr>
            </w:pPr>
            <w:r w:rsidRPr="00C6732F">
              <w:rPr>
                <w:rFonts w:ascii="標楷體" w:eastAsia="標楷體" w:hAnsi="標楷體" w:hint="eastAsia"/>
                <w:szCs w:val="24"/>
              </w:rPr>
              <w:t>第二</w:t>
            </w:r>
            <w:r w:rsidRPr="00C6732F">
              <w:rPr>
                <w:rFonts w:ascii="標楷體" w:eastAsia="標楷體" w:hAnsi="標楷體" w:hint="eastAsia"/>
              </w:rPr>
              <w:t>條</w:t>
            </w:r>
            <w:r>
              <w:rPr>
                <w:rFonts w:ascii="標楷體" w:eastAsia="標楷體" w:hAnsi="標楷體" w:hint="eastAsia"/>
              </w:rPr>
              <w:t xml:space="preserve"> </w:t>
            </w:r>
            <w:r w:rsidRPr="00C6732F">
              <w:rPr>
                <w:rFonts w:ascii="標楷體" w:eastAsia="標楷體" w:hAnsi="標楷體" w:hint="eastAsia"/>
              </w:rPr>
              <w:t>本自治條例主管機關為澎湖縣政府（以下簡稱本府），其權責劃分如下：</w:t>
            </w:r>
          </w:p>
          <w:p w:rsidR="00162295" w:rsidRPr="00725535" w:rsidRDefault="00162295" w:rsidP="002A1733">
            <w:pPr>
              <w:overflowPunct w:val="0"/>
              <w:snapToGrid w:val="0"/>
              <w:ind w:left="600" w:hangingChars="300" w:hanging="600"/>
              <w:jc w:val="both"/>
              <w:rPr>
                <w:rFonts w:ascii="Times New Roman" w:eastAsia="標楷體" w:hAnsi="Times New Roman" w:hint="eastAsia"/>
                <w:noProof/>
                <w:szCs w:val="24"/>
              </w:rPr>
            </w:pPr>
            <w:r>
              <w:rPr>
                <w:rFonts w:ascii="Times New Roman" w:eastAsia="標楷體" w:hAnsi="Times New Roman" w:hint="eastAsia"/>
                <w:noProof/>
                <w:szCs w:val="24"/>
              </w:rPr>
              <w:t xml:space="preserve">  </w:t>
            </w:r>
            <w:r>
              <w:rPr>
                <w:rFonts w:ascii="Times New Roman" w:eastAsia="標楷體" w:hAnsi="Times New Roman" w:hint="eastAsia"/>
                <w:noProof/>
                <w:szCs w:val="24"/>
              </w:rPr>
              <w:t>一</w:t>
            </w:r>
            <w:r w:rsidRPr="00725535">
              <w:rPr>
                <w:rFonts w:ascii="Times New Roman" w:eastAsia="標楷體" w:hAnsi="Times New Roman" w:hint="eastAsia"/>
                <w:noProof/>
                <w:szCs w:val="24"/>
              </w:rPr>
              <w:t>、衛生局：辦理食品、食品業者管理、監督及市售食品安全之查驗。</w:t>
            </w:r>
          </w:p>
          <w:p w:rsidR="00162295" w:rsidRPr="00725535" w:rsidRDefault="00162295" w:rsidP="002A1733">
            <w:pPr>
              <w:overflowPunct w:val="0"/>
              <w:snapToGrid w:val="0"/>
              <w:ind w:left="600" w:hangingChars="300" w:hanging="600"/>
              <w:jc w:val="both"/>
              <w:rPr>
                <w:rFonts w:ascii="Times New Roman" w:eastAsia="標楷體" w:hAnsi="Times New Roman"/>
                <w:noProof/>
                <w:szCs w:val="24"/>
              </w:rPr>
            </w:pPr>
            <w:r>
              <w:rPr>
                <w:rFonts w:ascii="Times New Roman" w:eastAsia="標楷體" w:hAnsi="Times New Roman" w:hint="eastAsia"/>
                <w:noProof/>
                <w:szCs w:val="24"/>
              </w:rPr>
              <w:t xml:space="preserve">  </w:t>
            </w:r>
            <w:r w:rsidRPr="00725535">
              <w:rPr>
                <w:rFonts w:ascii="Times New Roman" w:eastAsia="標楷體" w:hAnsi="Times New Roman" w:hint="eastAsia"/>
                <w:noProof/>
                <w:szCs w:val="24"/>
              </w:rPr>
              <w:t>二、環境保護局：辦理毒性化學物質運作之管理、餐飲業廢棄物監督及稽查事項。</w:t>
            </w:r>
          </w:p>
          <w:p w:rsidR="00162295" w:rsidRPr="008E2F92" w:rsidRDefault="00162295" w:rsidP="002A1733">
            <w:pPr>
              <w:overflowPunct w:val="0"/>
              <w:snapToGrid w:val="0"/>
              <w:ind w:left="600" w:hangingChars="300" w:hanging="600"/>
              <w:jc w:val="both"/>
              <w:rPr>
                <w:rFonts w:ascii="Times New Roman" w:eastAsia="標楷體" w:hAnsi="Times New Roman"/>
                <w:noProof/>
                <w:szCs w:val="24"/>
              </w:rPr>
            </w:pPr>
            <w:r>
              <w:rPr>
                <w:rFonts w:ascii="Times New Roman" w:eastAsia="標楷體" w:hAnsi="Times New Roman" w:hint="eastAsia"/>
                <w:noProof/>
                <w:szCs w:val="24"/>
              </w:rPr>
              <w:t xml:space="preserve">  </w:t>
            </w:r>
            <w:r w:rsidRPr="008E2F92">
              <w:rPr>
                <w:rFonts w:ascii="Times New Roman" w:eastAsia="標楷體" w:hAnsi="Times New Roman" w:hint="eastAsia"/>
                <w:noProof/>
                <w:szCs w:val="24"/>
              </w:rPr>
              <w:t>三、教育</w:t>
            </w:r>
            <w:r w:rsidRPr="00B24B9E">
              <w:rPr>
                <w:rFonts w:ascii="Times New Roman" w:eastAsia="標楷體" w:hAnsi="Times New Roman" w:hint="eastAsia"/>
                <w:noProof/>
                <w:color w:val="000000"/>
                <w:szCs w:val="24"/>
              </w:rPr>
              <w:t>處：辦理校園食品安全之管理、監督及稽查</w:t>
            </w:r>
            <w:r w:rsidRPr="008E2F92">
              <w:rPr>
                <w:rFonts w:ascii="Times New Roman" w:eastAsia="標楷體" w:hAnsi="Times New Roman" w:hint="eastAsia"/>
                <w:noProof/>
                <w:szCs w:val="24"/>
              </w:rPr>
              <w:t>事項。</w:t>
            </w:r>
          </w:p>
          <w:p w:rsidR="00162295" w:rsidRPr="008E2F92" w:rsidRDefault="00162295" w:rsidP="002A1733">
            <w:pPr>
              <w:overflowPunct w:val="0"/>
              <w:snapToGrid w:val="0"/>
              <w:ind w:left="600" w:hangingChars="300" w:hanging="600"/>
              <w:jc w:val="both"/>
              <w:rPr>
                <w:rFonts w:ascii="Times New Roman" w:eastAsia="標楷體" w:hAnsi="Times New Roman"/>
                <w:noProof/>
                <w:szCs w:val="24"/>
              </w:rPr>
            </w:pPr>
            <w:r>
              <w:rPr>
                <w:rFonts w:ascii="Times New Roman" w:eastAsia="標楷體" w:hAnsi="Times New Roman" w:hint="eastAsia"/>
                <w:noProof/>
                <w:szCs w:val="24"/>
              </w:rPr>
              <w:t xml:space="preserve">  </w:t>
            </w:r>
            <w:r w:rsidRPr="008E2F92">
              <w:rPr>
                <w:rFonts w:ascii="Times New Roman" w:eastAsia="標楷體" w:hAnsi="Times New Roman" w:hint="eastAsia"/>
                <w:noProof/>
                <w:szCs w:val="24"/>
              </w:rPr>
              <w:t>四、農漁局：辦理未上市農、禽、畜、水產品</w:t>
            </w:r>
            <w:r w:rsidRPr="008E2F92">
              <w:rPr>
                <w:rFonts w:ascii="Times New Roman" w:eastAsia="標楷體" w:hAnsi="Times New Roman"/>
                <w:noProof/>
                <w:szCs w:val="24"/>
              </w:rPr>
              <w:t>生產業者之</w:t>
            </w:r>
            <w:r w:rsidRPr="008E2F92">
              <w:rPr>
                <w:rFonts w:ascii="Times New Roman" w:eastAsia="標楷體" w:hAnsi="Times New Roman" w:hint="eastAsia"/>
                <w:noProof/>
                <w:szCs w:val="24"/>
              </w:rPr>
              <w:t>管理、監督及稽查事項</w:t>
            </w:r>
            <w:r w:rsidRPr="008E2F92">
              <w:rPr>
                <w:rFonts w:ascii="Times New Roman" w:eastAsia="標楷體" w:hAnsi="Times New Roman"/>
                <w:noProof/>
                <w:szCs w:val="24"/>
              </w:rPr>
              <w:t>。</w:t>
            </w:r>
          </w:p>
          <w:p w:rsidR="00162295" w:rsidRPr="008E2F92" w:rsidRDefault="00162295" w:rsidP="002A1733">
            <w:pPr>
              <w:overflowPunct w:val="0"/>
              <w:snapToGrid w:val="0"/>
              <w:ind w:left="600" w:hangingChars="300" w:hanging="600"/>
              <w:jc w:val="both"/>
              <w:rPr>
                <w:rFonts w:ascii="Times New Roman" w:eastAsia="標楷體" w:hAnsi="Times New Roman"/>
                <w:noProof/>
                <w:szCs w:val="24"/>
              </w:rPr>
            </w:pPr>
            <w:r>
              <w:rPr>
                <w:rFonts w:ascii="Times New Roman" w:eastAsia="標楷體" w:hAnsi="Times New Roman" w:hint="eastAsia"/>
                <w:noProof/>
                <w:szCs w:val="24"/>
              </w:rPr>
              <w:t xml:space="preserve">  </w:t>
            </w:r>
            <w:r w:rsidRPr="008E2F92">
              <w:rPr>
                <w:rFonts w:ascii="Times New Roman" w:eastAsia="標楷體" w:hAnsi="Times New Roman" w:hint="eastAsia"/>
                <w:noProof/>
                <w:szCs w:val="24"/>
              </w:rPr>
              <w:t>五、建設處：辦理食品、食品添加物與化工原料之製造、加工業者及零售市場攤販列冊管理、監督及稽查事項。</w:t>
            </w:r>
          </w:p>
          <w:p w:rsidR="00162295" w:rsidRPr="008E2F92" w:rsidRDefault="00162295" w:rsidP="002A1733">
            <w:pPr>
              <w:overflowPunct w:val="0"/>
              <w:snapToGrid w:val="0"/>
              <w:ind w:left="600" w:hangingChars="300" w:hanging="600"/>
              <w:jc w:val="both"/>
              <w:rPr>
                <w:rFonts w:ascii="Times New Roman" w:eastAsia="標楷體" w:hAnsi="Times New Roman"/>
                <w:noProof/>
                <w:szCs w:val="24"/>
              </w:rPr>
            </w:pPr>
            <w:r>
              <w:rPr>
                <w:rFonts w:ascii="Times New Roman" w:eastAsia="標楷體" w:hAnsi="Times New Roman" w:hint="eastAsia"/>
                <w:noProof/>
                <w:szCs w:val="24"/>
              </w:rPr>
              <w:t xml:space="preserve">  </w:t>
            </w:r>
            <w:r w:rsidRPr="008E2F92">
              <w:rPr>
                <w:rFonts w:ascii="Times New Roman" w:eastAsia="標楷體" w:hAnsi="Times New Roman" w:hint="eastAsia"/>
                <w:noProof/>
                <w:szCs w:val="24"/>
              </w:rPr>
              <w:t>六、警察局：辦理有關食品業者涉及刑罰案件之偵辦、移送及本府相關機關實施檢查或取締時，予以配合及必要警力協助事項。</w:t>
            </w:r>
          </w:p>
          <w:p w:rsidR="00162295" w:rsidRPr="00725535" w:rsidRDefault="00162295" w:rsidP="002A1733">
            <w:pPr>
              <w:overflowPunct w:val="0"/>
              <w:snapToGrid w:val="0"/>
              <w:ind w:left="600" w:hangingChars="300" w:hanging="600"/>
              <w:jc w:val="both"/>
            </w:pPr>
            <w:r>
              <w:rPr>
                <w:rFonts w:ascii="Times New Roman" w:eastAsia="標楷體" w:hAnsi="Times New Roman" w:hint="eastAsia"/>
                <w:noProof/>
                <w:szCs w:val="24"/>
              </w:rPr>
              <w:t xml:space="preserve">  </w:t>
            </w:r>
            <w:r w:rsidRPr="008E2F92">
              <w:rPr>
                <w:rFonts w:ascii="Times New Roman" w:eastAsia="標楷體" w:hAnsi="Times New Roman" w:hint="eastAsia"/>
                <w:noProof/>
                <w:szCs w:val="24"/>
              </w:rPr>
              <w:t>七、消費者保護官：辦理消費者消費爭議申訴、調解之申請</w:t>
            </w:r>
            <w:r w:rsidRPr="00AC11FC">
              <w:rPr>
                <w:rFonts w:ascii="Times New Roman" w:eastAsia="標楷體" w:hAnsi="Times New Roman" w:hint="eastAsia"/>
                <w:noProof/>
                <w:color w:val="000000"/>
                <w:szCs w:val="24"/>
              </w:rPr>
              <w:t>及協</w:t>
            </w:r>
            <w:r w:rsidRPr="008E2F92">
              <w:rPr>
                <w:rFonts w:ascii="Times New Roman" w:eastAsia="標楷體" w:hAnsi="Times New Roman" w:hint="eastAsia"/>
                <w:noProof/>
                <w:szCs w:val="24"/>
              </w:rPr>
              <w:t>助消費者團體訴訟求償事項。</w:t>
            </w:r>
          </w:p>
        </w:tc>
        <w:tc>
          <w:tcPr>
            <w:tcW w:w="4641" w:type="dxa"/>
            <w:shd w:val="clear" w:color="auto" w:fill="auto"/>
          </w:tcPr>
          <w:p w:rsidR="00162295" w:rsidRPr="00725535" w:rsidRDefault="00162295" w:rsidP="002A1733">
            <w:pPr>
              <w:overflowPunct w:val="0"/>
              <w:jc w:val="both"/>
              <w:rPr>
                <w:rFonts w:ascii="標楷體" w:eastAsia="標楷體" w:hAnsi="標楷體"/>
                <w:noProof/>
                <w:szCs w:val="24"/>
              </w:rPr>
            </w:pPr>
            <w:r w:rsidRPr="00725535">
              <w:rPr>
                <w:rFonts w:ascii="標楷體" w:eastAsia="標楷體" w:hAnsi="標楷體" w:hint="eastAsia"/>
                <w:szCs w:val="24"/>
              </w:rPr>
              <w:t>主管機關及其權責區分之說明。</w:t>
            </w:r>
          </w:p>
        </w:tc>
      </w:tr>
      <w:tr w:rsidR="00162295" w:rsidRPr="006A2F25" w:rsidTr="002A1733">
        <w:trPr>
          <w:jc w:val="center"/>
        </w:trPr>
        <w:tc>
          <w:tcPr>
            <w:tcW w:w="5067" w:type="dxa"/>
            <w:shd w:val="clear" w:color="auto" w:fill="auto"/>
          </w:tcPr>
          <w:p w:rsidR="00162295" w:rsidRDefault="00162295" w:rsidP="002A1733">
            <w:pPr>
              <w:pStyle w:val="a"/>
              <w:numPr>
                <w:ilvl w:val="0"/>
                <w:numId w:val="0"/>
              </w:numPr>
              <w:tabs>
                <w:tab w:val="left" w:pos="829"/>
              </w:tabs>
              <w:overflowPunct w:val="0"/>
              <w:snapToGrid w:val="0"/>
              <w:spacing w:line="240" w:lineRule="auto"/>
              <w:ind w:left="240" w:hangingChars="100" w:hanging="240"/>
              <w:rPr>
                <w:rFonts w:ascii="標楷體" w:hAnsi="標楷體"/>
                <w:noProof w:val="0"/>
                <w:kern w:val="2"/>
                <w:sz w:val="24"/>
              </w:rPr>
            </w:pPr>
            <w:r w:rsidRPr="00725535">
              <w:rPr>
                <w:rFonts w:hint="eastAsia"/>
                <w:sz w:val="24"/>
              </w:rPr>
              <w:t>第三條</w:t>
            </w:r>
            <w:r>
              <w:rPr>
                <w:rFonts w:hint="eastAsia"/>
                <w:sz w:val="24"/>
              </w:rPr>
              <w:t xml:space="preserve"> </w:t>
            </w:r>
            <w:r w:rsidRPr="00B920FF">
              <w:rPr>
                <w:rFonts w:ascii="標楷體" w:hAnsi="標楷體" w:hint="eastAsia"/>
                <w:noProof w:val="0"/>
                <w:kern w:val="2"/>
                <w:sz w:val="24"/>
              </w:rPr>
              <w:t>本自治條例所稱食品業者，係指於本縣從事食品或食品添加物之生產、製造、加工、調配、包裝、運送、貯存、販賣、輸入、輸出或從事食品器具、食品容器或包裝、食品</w:t>
            </w:r>
            <w:proofErr w:type="gramStart"/>
            <w:r w:rsidRPr="00B920FF">
              <w:rPr>
                <w:rFonts w:ascii="標楷體" w:hAnsi="標楷體" w:hint="eastAsia"/>
                <w:noProof w:val="0"/>
                <w:kern w:val="2"/>
                <w:sz w:val="24"/>
              </w:rPr>
              <w:t>用洗潔劑</w:t>
            </w:r>
            <w:proofErr w:type="gramEnd"/>
            <w:r w:rsidRPr="00B920FF">
              <w:rPr>
                <w:rFonts w:ascii="標楷體" w:hAnsi="標楷體" w:hint="eastAsia"/>
                <w:noProof w:val="0"/>
                <w:kern w:val="2"/>
                <w:sz w:val="24"/>
              </w:rPr>
              <w:t>之製造、加工、輸入、輸出或販賣之業者。</w:t>
            </w:r>
          </w:p>
          <w:p w:rsidR="00162295" w:rsidRPr="00725535" w:rsidRDefault="00162295" w:rsidP="002A1733">
            <w:pPr>
              <w:pStyle w:val="a"/>
              <w:numPr>
                <w:ilvl w:val="0"/>
                <w:numId w:val="0"/>
              </w:numPr>
              <w:overflowPunct w:val="0"/>
              <w:snapToGrid w:val="0"/>
              <w:spacing w:line="240" w:lineRule="auto"/>
              <w:ind w:left="240" w:hangingChars="100" w:hanging="240"/>
              <w:rPr>
                <w:sz w:val="24"/>
              </w:rPr>
            </w:pPr>
            <w:r w:rsidRPr="00B920FF">
              <w:rPr>
                <w:rFonts w:ascii="標楷體" w:hAnsi="標楷體" w:hint="eastAsia"/>
                <w:noProof w:val="0"/>
                <w:kern w:val="2"/>
                <w:sz w:val="24"/>
              </w:rPr>
              <w:tab/>
              <w:t xml:space="preserve">　  前項所稱業者，包括製造業者、加工業者、運輸業者、倉儲業者、物流業者、販賣業者、餐飲業者、輸入業者、輸出業者、出進口貿易商或其他經營事業之個人、法人或團體。</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noProof/>
                <w:szCs w:val="24"/>
              </w:rPr>
            </w:pPr>
            <w:r w:rsidRPr="00725535">
              <w:rPr>
                <w:rFonts w:ascii="標楷體" w:eastAsia="標楷體" w:hAnsi="標楷體" w:hint="eastAsia"/>
                <w:noProof/>
                <w:szCs w:val="24"/>
              </w:rPr>
              <w:t>食品業者定義。</w:t>
            </w:r>
            <w:r w:rsidRPr="00725535">
              <w:rPr>
                <w:rFonts w:ascii="標楷體" w:eastAsia="標楷體" w:hAnsi="標楷體"/>
                <w:noProof/>
                <w:szCs w:val="24"/>
              </w:rPr>
              <w:t xml:space="preserve"> </w:t>
            </w:r>
          </w:p>
        </w:tc>
      </w:tr>
      <w:tr w:rsidR="00162295" w:rsidRPr="006A2F25" w:rsidTr="002A1733">
        <w:trPr>
          <w:jc w:val="center"/>
        </w:trPr>
        <w:tc>
          <w:tcPr>
            <w:tcW w:w="5067" w:type="dxa"/>
            <w:shd w:val="clear" w:color="auto" w:fill="auto"/>
          </w:tcPr>
          <w:p w:rsidR="00162295" w:rsidRPr="002B5DF2" w:rsidRDefault="00162295" w:rsidP="002A1733">
            <w:pPr>
              <w:pStyle w:val="a"/>
              <w:numPr>
                <w:ilvl w:val="0"/>
                <w:numId w:val="0"/>
              </w:numPr>
              <w:tabs>
                <w:tab w:val="left" w:pos="869"/>
              </w:tabs>
              <w:overflowPunct w:val="0"/>
              <w:snapToGrid w:val="0"/>
              <w:spacing w:line="240" w:lineRule="auto"/>
              <w:ind w:left="240" w:hangingChars="100" w:hanging="240"/>
              <w:rPr>
                <w:sz w:val="24"/>
              </w:rPr>
            </w:pPr>
            <w:r w:rsidRPr="002B5DF2">
              <w:rPr>
                <w:rFonts w:hint="eastAsia"/>
                <w:sz w:val="24"/>
              </w:rPr>
              <w:t>第四條</w:t>
            </w:r>
            <w:r w:rsidRPr="002B5DF2">
              <w:rPr>
                <w:rFonts w:hint="eastAsia"/>
                <w:sz w:val="24"/>
              </w:rPr>
              <w:t xml:space="preserve"> </w:t>
            </w:r>
            <w:r w:rsidRPr="002B5DF2">
              <w:rPr>
                <w:rFonts w:ascii="標楷體" w:hAnsi="標楷體" w:hint="eastAsia"/>
                <w:sz w:val="24"/>
              </w:rPr>
              <w:t>食品業者發現或接獲產品有危害衛生安全或其產地有受原子塵或放射能污染之虞時，應即主動停止製造、輸出、輸入、加工、販賣、作為贈品、公開陳列及辦理回收，於二十四小時內自主通知所有相關廠商進行產品下架，並通報衛生局。</w:t>
            </w:r>
          </w:p>
          <w:p w:rsidR="00162295" w:rsidRDefault="00162295" w:rsidP="002A1733">
            <w:pPr>
              <w:pStyle w:val="a"/>
              <w:numPr>
                <w:ilvl w:val="0"/>
                <w:numId w:val="0"/>
              </w:numPr>
              <w:tabs>
                <w:tab w:val="left" w:pos="739"/>
              </w:tabs>
              <w:overflowPunct w:val="0"/>
              <w:snapToGrid w:val="0"/>
              <w:spacing w:line="240" w:lineRule="auto"/>
              <w:ind w:left="240" w:hangingChars="100" w:hanging="240"/>
              <w:rPr>
                <w:sz w:val="24"/>
              </w:rPr>
            </w:pPr>
            <w:r>
              <w:rPr>
                <w:rFonts w:hint="eastAsia"/>
                <w:sz w:val="24"/>
              </w:rPr>
              <w:t xml:space="preserve">      </w:t>
            </w:r>
            <w:r w:rsidRPr="009F7B8D">
              <w:rPr>
                <w:rFonts w:hint="eastAsia"/>
                <w:sz w:val="24"/>
              </w:rPr>
              <w:t>前項食品業者通報衛生局，並應四十八小時內提出產品原材料、食品添加物及產品之進出貨廠商資料、進出貨品項、時間及數量、產品配方及其他相關資料備查。</w:t>
            </w:r>
          </w:p>
          <w:p w:rsidR="00162295" w:rsidRPr="002B5DF2" w:rsidRDefault="00162295" w:rsidP="002A1733">
            <w:pPr>
              <w:pStyle w:val="a"/>
              <w:numPr>
                <w:ilvl w:val="0"/>
                <w:numId w:val="0"/>
              </w:numPr>
              <w:tabs>
                <w:tab w:val="left" w:pos="739"/>
              </w:tabs>
              <w:overflowPunct w:val="0"/>
              <w:snapToGrid w:val="0"/>
              <w:spacing w:line="240" w:lineRule="auto"/>
              <w:ind w:left="360" w:hangingChars="100" w:hanging="360"/>
              <w:rPr>
                <w:rFonts w:ascii="標楷體" w:hAnsi="標楷體"/>
                <w:sz w:val="24"/>
              </w:rPr>
            </w:pPr>
            <w:r>
              <w:rPr>
                <w:rFonts w:hint="eastAsia"/>
              </w:rPr>
              <w:t xml:space="preserve">    </w:t>
            </w:r>
            <w:r w:rsidRPr="002B5DF2">
              <w:rPr>
                <w:rFonts w:ascii="標楷體" w:hAnsi="標楷體" w:hint="eastAsia"/>
                <w:sz w:val="24"/>
              </w:rPr>
              <w:t>日本福島、群馬、櫪木、茨城、千葉</w:t>
            </w:r>
            <w:r>
              <w:rPr>
                <w:rFonts w:ascii="標楷體" w:hAnsi="標楷體" w:hint="eastAsia"/>
                <w:sz w:val="24"/>
              </w:rPr>
              <w:t>五</w:t>
            </w:r>
            <w:r w:rsidRPr="002B5DF2">
              <w:rPr>
                <w:rFonts w:ascii="標楷體" w:hAnsi="標楷體" w:hint="eastAsia"/>
                <w:sz w:val="24"/>
              </w:rPr>
              <w:t>縣市</w:t>
            </w:r>
            <w:r>
              <w:rPr>
                <w:rFonts w:ascii="標楷體" w:hAnsi="標楷體" w:hint="eastAsia"/>
                <w:sz w:val="24"/>
              </w:rPr>
              <w:t>核災區</w:t>
            </w:r>
            <w:r w:rsidRPr="002B5DF2">
              <w:rPr>
                <w:rFonts w:ascii="標楷體" w:hAnsi="標楷體" w:hint="eastAsia"/>
                <w:sz w:val="24"/>
              </w:rPr>
              <w:t>生產製造之食品</w:t>
            </w:r>
            <w:r>
              <w:rPr>
                <w:rFonts w:ascii="新細明體" w:eastAsia="新細明體" w:hAnsi="新細明體" w:hint="eastAsia"/>
                <w:sz w:val="24"/>
              </w:rPr>
              <w:t>，</w:t>
            </w:r>
            <w:r w:rsidRPr="002B5DF2">
              <w:rPr>
                <w:rFonts w:ascii="標楷體" w:hAnsi="標楷體" w:hint="eastAsia"/>
                <w:sz w:val="24"/>
              </w:rPr>
              <w:t>不得於本縣販賣。</w:t>
            </w:r>
          </w:p>
          <w:p w:rsidR="00162295" w:rsidRPr="00417DD8" w:rsidRDefault="00162295" w:rsidP="002A1733">
            <w:pPr>
              <w:pStyle w:val="a"/>
              <w:numPr>
                <w:ilvl w:val="0"/>
                <w:numId w:val="0"/>
              </w:numPr>
              <w:tabs>
                <w:tab w:val="left" w:pos="739"/>
              </w:tabs>
              <w:overflowPunct w:val="0"/>
              <w:snapToGrid w:val="0"/>
              <w:spacing w:line="240" w:lineRule="auto"/>
              <w:ind w:left="240" w:hangingChars="100" w:hanging="240"/>
              <w:rPr>
                <w:color w:val="FF0000"/>
                <w:sz w:val="24"/>
              </w:rPr>
            </w:pPr>
            <w:r w:rsidRPr="002B5DF2">
              <w:rPr>
                <w:rFonts w:ascii="標楷體" w:hAnsi="標楷體" w:hint="eastAsia"/>
                <w:sz w:val="24"/>
              </w:rPr>
              <w:lastRenderedPageBreak/>
              <w:t xml:space="preserve">      本縣食品業所販售之日本食品，應具產地證明文件，其產地需載明至都、道、府、縣</w:t>
            </w:r>
            <w:r w:rsidRPr="002B5DF2">
              <w:rPr>
                <w:rFonts w:ascii="新細明體" w:hAnsi="新細明體" w:hint="eastAsia"/>
                <w:sz w:val="24"/>
              </w:rPr>
              <w:t>。</w:t>
            </w:r>
            <w:r w:rsidRPr="002B5DF2">
              <w:rPr>
                <w:rFonts w:ascii="標楷體" w:hAnsi="標楷體" w:hint="eastAsia"/>
                <w:b/>
                <w:i/>
                <w:sz w:val="24"/>
              </w:rPr>
              <w:t xml:space="preserve"> </w:t>
            </w:r>
            <w:r w:rsidRPr="002B5DF2">
              <w:rPr>
                <w:rFonts w:ascii="標楷體" w:hAnsi="標楷體" w:hint="eastAsia"/>
                <w:b/>
                <w:i/>
                <w:sz w:val="28"/>
                <w:szCs w:val="28"/>
              </w:rPr>
              <w:t xml:space="preserve">   </w:t>
            </w:r>
          </w:p>
        </w:tc>
        <w:tc>
          <w:tcPr>
            <w:tcW w:w="4641" w:type="dxa"/>
            <w:shd w:val="clear" w:color="auto" w:fill="auto"/>
          </w:tcPr>
          <w:p w:rsidR="00162295" w:rsidRPr="00417DD8" w:rsidRDefault="00162295" w:rsidP="002A1733">
            <w:pPr>
              <w:overflowPunct w:val="0"/>
              <w:jc w:val="both"/>
              <w:textAlignment w:val="baseline"/>
              <w:rPr>
                <w:rFonts w:ascii="標楷體" w:eastAsia="標楷體" w:hAnsi="標楷體"/>
                <w:noProof/>
                <w:color w:val="FF0000"/>
                <w:szCs w:val="24"/>
              </w:rPr>
            </w:pPr>
            <w:r w:rsidRPr="002B5DF2">
              <w:rPr>
                <w:rFonts w:ascii="標楷體" w:eastAsia="標楷體" w:hAnsi="標楷體" w:hint="eastAsia"/>
                <w:noProof/>
                <w:szCs w:val="24"/>
              </w:rPr>
              <w:lastRenderedPageBreak/>
              <w:t>食品業者發現上游供應之食品及原料有危害或其產地有受原子塵或放射能污染之虞時，業者負有主動通報食品流向及禁止日本福島等</w:t>
            </w:r>
            <w:r>
              <w:rPr>
                <w:rFonts w:ascii="標楷體" w:eastAsia="標楷體" w:hAnsi="標楷體" w:hint="eastAsia"/>
                <w:noProof/>
                <w:szCs w:val="24"/>
              </w:rPr>
              <w:t>五</w:t>
            </w:r>
            <w:r w:rsidRPr="002B5DF2">
              <w:rPr>
                <w:rFonts w:ascii="標楷體" w:eastAsia="標楷體" w:hAnsi="標楷體" w:hint="eastAsia"/>
                <w:noProof/>
                <w:szCs w:val="24"/>
              </w:rPr>
              <w:t>縣市核災區食品於本縣販賣，日本食品應出具進口提驗產地證明的義</w:t>
            </w:r>
            <w:r w:rsidRPr="003D0D44">
              <w:rPr>
                <w:rFonts w:ascii="標楷體" w:eastAsia="標楷體" w:hAnsi="標楷體" w:hint="eastAsia"/>
                <w:noProof/>
                <w:color w:val="000000"/>
                <w:szCs w:val="24"/>
              </w:rPr>
              <w:t>務，杜絕不安全食品流入消費市場。</w:t>
            </w:r>
          </w:p>
          <w:p w:rsidR="00162295" w:rsidRPr="00AC11FC" w:rsidRDefault="00162295" w:rsidP="002A1733">
            <w:pPr>
              <w:overflowPunct w:val="0"/>
              <w:jc w:val="both"/>
              <w:textAlignment w:val="baseline"/>
              <w:rPr>
                <w:rFonts w:ascii="標楷體" w:eastAsia="標楷體" w:hAnsi="標楷體"/>
                <w:noProof/>
                <w:color w:val="000000"/>
                <w:szCs w:val="24"/>
              </w:rPr>
            </w:pPr>
          </w:p>
          <w:p w:rsidR="00162295" w:rsidRPr="00AC11FC" w:rsidRDefault="00162295" w:rsidP="002A1733">
            <w:pPr>
              <w:overflowPunct w:val="0"/>
              <w:jc w:val="both"/>
              <w:textAlignment w:val="baseline"/>
              <w:rPr>
                <w:rFonts w:ascii="標楷體" w:eastAsia="標楷體" w:hAnsi="標楷體"/>
                <w:noProof/>
                <w:color w:val="000000"/>
                <w:szCs w:val="24"/>
              </w:rPr>
            </w:pPr>
          </w:p>
          <w:p w:rsidR="00162295" w:rsidRPr="00AC11FC" w:rsidRDefault="00162295" w:rsidP="002A1733">
            <w:pPr>
              <w:overflowPunct w:val="0"/>
              <w:jc w:val="both"/>
              <w:textAlignment w:val="baseline"/>
              <w:rPr>
                <w:rFonts w:ascii="標楷體" w:eastAsia="標楷體" w:hAnsi="標楷體"/>
                <w:noProof/>
                <w:color w:val="000000"/>
                <w:szCs w:val="24"/>
              </w:rPr>
            </w:pPr>
          </w:p>
        </w:tc>
      </w:tr>
      <w:tr w:rsidR="00162295" w:rsidRPr="006A2F25" w:rsidTr="002A1733">
        <w:trPr>
          <w:jc w:val="center"/>
        </w:trPr>
        <w:tc>
          <w:tcPr>
            <w:tcW w:w="5067" w:type="dxa"/>
            <w:shd w:val="clear" w:color="auto" w:fill="auto"/>
          </w:tcPr>
          <w:p w:rsidR="00162295" w:rsidRPr="0095760E" w:rsidRDefault="00162295" w:rsidP="002A1733">
            <w:pPr>
              <w:pStyle w:val="a"/>
              <w:numPr>
                <w:ilvl w:val="0"/>
                <w:numId w:val="0"/>
              </w:numPr>
              <w:overflowPunct w:val="0"/>
              <w:snapToGrid w:val="0"/>
              <w:spacing w:line="240" w:lineRule="auto"/>
              <w:ind w:left="240" w:hangingChars="100" w:hanging="240"/>
              <w:rPr>
                <w:sz w:val="24"/>
              </w:rPr>
            </w:pPr>
            <w:r w:rsidRPr="0095760E">
              <w:rPr>
                <w:rFonts w:hint="eastAsia"/>
                <w:sz w:val="24"/>
              </w:rPr>
              <w:lastRenderedPageBreak/>
              <w:t>第五條</w:t>
            </w:r>
            <w:r>
              <w:rPr>
                <w:rFonts w:hint="eastAsia"/>
                <w:sz w:val="24"/>
              </w:rPr>
              <w:t xml:space="preserve"> </w:t>
            </w:r>
            <w:r w:rsidRPr="0095760E">
              <w:rPr>
                <w:rFonts w:hint="eastAsia"/>
                <w:sz w:val="24"/>
              </w:rPr>
              <w:t>本府衛生局接獲前條通報，應依法執行查核或抽樣檢驗；其查核或檢驗結果證實前，得請業者自主下架疑慮食品。</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cs="Arial"/>
                <w:noProof/>
                <w:szCs w:val="24"/>
              </w:rPr>
            </w:pPr>
            <w:r w:rsidRPr="00725535">
              <w:rPr>
                <w:rFonts w:ascii="標楷體" w:eastAsia="標楷體" w:hAnsi="標楷體" w:hint="eastAsia"/>
                <w:noProof/>
                <w:szCs w:val="24"/>
              </w:rPr>
              <w:t>本府衛生局於接獲食品安全疑慮之通報並依食品安全衛生管理法第四十ㄧ條查核或抽樣檢驗後，於尚未釐清其危害前，得施以行政指導，請業者自主性預防性下架。</w:t>
            </w:r>
          </w:p>
        </w:tc>
      </w:tr>
      <w:tr w:rsidR="00162295" w:rsidRPr="006A2F25" w:rsidTr="002A1733">
        <w:trPr>
          <w:trHeight w:val="1265"/>
          <w:jc w:val="center"/>
        </w:trPr>
        <w:tc>
          <w:tcPr>
            <w:tcW w:w="5067" w:type="dxa"/>
            <w:shd w:val="clear" w:color="auto" w:fill="auto"/>
          </w:tcPr>
          <w:p w:rsidR="00162295" w:rsidRPr="00725535" w:rsidRDefault="00162295" w:rsidP="002A1733">
            <w:pPr>
              <w:tabs>
                <w:tab w:val="left" w:pos="9214"/>
              </w:tabs>
              <w:snapToGrid w:val="0"/>
              <w:ind w:left="200" w:hangingChars="100" w:hanging="200"/>
              <w:jc w:val="both"/>
              <w:rPr>
                <w:rFonts w:ascii="標楷體" w:eastAsia="標楷體" w:hAnsi="標楷體" w:hint="eastAsia"/>
                <w:szCs w:val="24"/>
              </w:rPr>
            </w:pPr>
            <w:r w:rsidRPr="00725535">
              <w:rPr>
                <w:rFonts w:ascii="標楷體" w:eastAsia="標楷體" w:hAnsi="標楷體" w:hint="eastAsia"/>
                <w:szCs w:val="24"/>
              </w:rPr>
              <w:t>第</w:t>
            </w:r>
            <w:r>
              <w:rPr>
                <w:rFonts w:ascii="標楷體" w:eastAsia="標楷體" w:hAnsi="標楷體" w:hint="eastAsia"/>
                <w:szCs w:val="24"/>
              </w:rPr>
              <w:t>六</w:t>
            </w:r>
            <w:r w:rsidRPr="00725535">
              <w:rPr>
                <w:rFonts w:ascii="標楷體" w:eastAsia="標楷體" w:hAnsi="標楷體" w:hint="eastAsia"/>
                <w:szCs w:val="24"/>
              </w:rPr>
              <w:t>條</w:t>
            </w:r>
            <w:r>
              <w:rPr>
                <w:rFonts w:ascii="標楷體" w:eastAsia="標楷體" w:hAnsi="標楷體" w:hint="eastAsia"/>
                <w:szCs w:val="24"/>
              </w:rPr>
              <w:t xml:space="preserve"> </w:t>
            </w:r>
            <w:r w:rsidRPr="00725535">
              <w:rPr>
                <w:rFonts w:ascii="標楷體" w:eastAsia="標楷體" w:hAnsi="標楷體" w:hint="eastAsia"/>
                <w:szCs w:val="24"/>
              </w:rPr>
              <w:t>本縣食品業者應符合食品良好衛生規範準則。經中央主管機關公告類別及規模之食品業，應符合食品安全管制系統準則之規定。</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cs="Arial"/>
                <w:noProof/>
                <w:szCs w:val="24"/>
              </w:rPr>
            </w:pPr>
            <w:r w:rsidRPr="00725535">
              <w:rPr>
                <w:rFonts w:ascii="標楷體" w:eastAsia="標楷體" w:hAnsi="標楷體" w:hint="eastAsia"/>
                <w:noProof/>
                <w:szCs w:val="24"/>
              </w:rPr>
              <w:t>強化食品業者自主管理，以及食品安全監測體系之建立，落實風險預防管理。</w:t>
            </w:r>
          </w:p>
        </w:tc>
      </w:tr>
      <w:tr w:rsidR="00162295" w:rsidRPr="006A2F25" w:rsidTr="002A1733">
        <w:trPr>
          <w:trHeight w:val="1360"/>
          <w:jc w:val="center"/>
        </w:trPr>
        <w:tc>
          <w:tcPr>
            <w:tcW w:w="5067" w:type="dxa"/>
            <w:shd w:val="clear" w:color="auto" w:fill="auto"/>
          </w:tcPr>
          <w:p w:rsidR="00162295" w:rsidRPr="00725535" w:rsidRDefault="00162295" w:rsidP="002A1733">
            <w:pPr>
              <w:pStyle w:val="a"/>
              <w:numPr>
                <w:ilvl w:val="0"/>
                <w:numId w:val="0"/>
              </w:numPr>
              <w:overflowPunct w:val="0"/>
              <w:adjustRightInd w:val="0"/>
              <w:snapToGrid w:val="0"/>
              <w:spacing w:line="240" w:lineRule="auto"/>
              <w:ind w:left="240" w:hangingChars="100" w:hanging="240"/>
              <w:rPr>
                <w:rFonts w:ascii="標楷體" w:hAnsi="標楷體"/>
                <w:sz w:val="24"/>
              </w:rPr>
            </w:pPr>
            <w:r w:rsidRPr="00725535">
              <w:rPr>
                <w:rFonts w:ascii="標楷體" w:hAnsi="標楷體" w:hint="eastAsia"/>
                <w:sz w:val="24"/>
              </w:rPr>
              <w:t>第</w:t>
            </w:r>
            <w:r>
              <w:rPr>
                <w:rFonts w:ascii="標楷體" w:hAnsi="標楷體" w:hint="eastAsia"/>
                <w:sz w:val="24"/>
              </w:rPr>
              <w:t>七</w:t>
            </w:r>
            <w:r w:rsidRPr="00725535">
              <w:rPr>
                <w:rFonts w:ascii="標楷體" w:hAnsi="標楷體" w:hint="eastAsia"/>
                <w:sz w:val="24"/>
              </w:rPr>
              <w:t>條</w:t>
            </w:r>
            <w:r>
              <w:rPr>
                <w:rFonts w:ascii="標楷體" w:hAnsi="標楷體" w:hint="eastAsia"/>
                <w:sz w:val="24"/>
              </w:rPr>
              <w:t xml:space="preserve"> </w:t>
            </w:r>
            <w:r w:rsidRPr="00162295">
              <w:rPr>
                <w:rFonts w:ascii="標楷體" w:hAnsi="標楷體" w:hint="eastAsia"/>
                <w:sz w:val="24"/>
                <w:fitText w:val="3840" w:id="1442452480"/>
              </w:rPr>
              <w:t>經中央主管機關公告類別及規模之食</w:t>
            </w:r>
            <w:r w:rsidRPr="00725535">
              <w:rPr>
                <w:rFonts w:ascii="標楷體" w:hAnsi="標楷體" w:hint="eastAsia"/>
                <w:sz w:val="24"/>
              </w:rPr>
              <w:t>品業者，應依食品業者登錄辦法之規定申請登錄，始得營業。食品業者完成登錄後，應於每年七月申報確認登錄內容。</w:t>
            </w:r>
          </w:p>
        </w:tc>
        <w:tc>
          <w:tcPr>
            <w:tcW w:w="4641" w:type="dxa"/>
            <w:shd w:val="clear" w:color="auto" w:fill="auto"/>
          </w:tcPr>
          <w:p w:rsidR="00162295" w:rsidRPr="007D25D4" w:rsidRDefault="00162295" w:rsidP="002A1733">
            <w:pPr>
              <w:overflowPunct w:val="0"/>
              <w:jc w:val="both"/>
              <w:textAlignment w:val="baseline"/>
              <w:rPr>
                <w:rFonts w:ascii="標楷體" w:eastAsia="標楷體" w:hAnsi="標楷體"/>
                <w:noProof/>
                <w:szCs w:val="24"/>
              </w:rPr>
            </w:pPr>
            <w:r w:rsidRPr="00725535">
              <w:rPr>
                <w:rFonts w:ascii="標楷體" w:eastAsia="標楷體" w:hAnsi="標楷體" w:hint="eastAsia"/>
                <w:noProof/>
                <w:szCs w:val="24"/>
              </w:rPr>
              <w:t>確保食品業者登錄的資料隨時更新，</w:t>
            </w:r>
            <w:r w:rsidRPr="00725535">
              <w:rPr>
                <w:rFonts w:ascii="標楷體" w:eastAsia="標楷體" w:hAnsi="標楷體" w:hint="eastAsia"/>
                <w:szCs w:val="24"/>
              </w:rPr>
              <w:t>持續監控食</w:t>
            </w:r>
            <w:r w:rsidRPr="00725535">
              <w:rPr>
                <w:rFonts w:ascii="標楷體" w:eastAsia="標楷體" w:hAnsi="標楷體"/>
                <w:szCs w:val="24"/>
              </w:rPr>
              <w:t>品</w:t>
            </w:r>
            <w:r w:rsidRPr="00725535">
              <w:rPr>
                <w:rFonts w:ascii="標楷體" w:eastAsia="標楷體" w:hAnsi="標楷體" w:hint="eastAsia"/>
                <w:szCs w:val="24"/>
              </w:rPr>
              <w:t>業者之動態，落實食品安全衛生管理。</w:t>
            </w:r>
          </w:p>
        </w:tc>
      </w:tr>
      <w:tr w:rsidR="00162295" w:rsidRPr="006A2F25" w:rsidTr="002A1733">
        <w:trPr>
          <w:jc w:val="center"/>
        </w:trPr>
        <w:tc>
          <w:tcPr>
            <w:tcW w:w="5067" w:type="dxa"/>
            <w:shd w:val="clear" w:color="auto" w:fill="auto"/>
          </w:tcPr>
          <w:p w:rsidR="00162295" w:rsidRPr="007D25D4" w:rsidRDefault="00162295" w:rsidP="002A1733">
            <w:pPr>
              <w:autoSpaceDE w:val="0"/>
              <w:autoSpaceDN w:val="0"/>
              <w:adjustRightInd w:val="0"/>
              <w:snapToGrid w:val="0"/>
              <w:ind w:left="200" w:hangingChars="100" w:hanging="200"/>
              <w:jc w:val="both"/>
              <w:rPr>
                <w:rFonts w:ascii="標楷體" w:eastAsia="標楷體" w:hAnsi="標楷體" w:hint="eastAsia"/>
                <w:szCs w:val="24"/>
              </w:rPr>
            </w:pPr>
            <w:r w:rsidRPr="00725535">
              <w:rPr>
                <w:rFonts w:ascii="標楷體" w:eastAsia="標楷體" w:hAnsi="標楷體" w:hint="eastAsia"/>
                <w:szCs w:val="24"/>
              </w:rPr>
              <w:t>第</w:t>
            </w:r>
            <w:r>
              <w:rPr>
                <w:rFonts w:ascii="標楷體" w:eastAsia="標楷體" w:hAnsi="標楷體" w:hint="eastAsia"/>
                <w:szCs w:val="24"/>
              </w:rPr>
              <w:t>八</w:t>
            </w:r>
            <w:r w:rsidRPr="00725535">
              <w:rPr>
                <w:rFonts w:ascii="標楷體" w:eastAsia="標楷體" w:hAnsi="標楷體" w:hint="eastAsia"/>
                <w:szCs w:val="24"/>
              </w:rPr>
              <w:t>條</w:t>
            </w:r>
            <w:r>
              <w:rPr>
                <w:rFonts w:ascii="標楷體" w:eastAsia="標楷體" w:hAnsi="標楷體" w:hint="eastAsia"/>
                <w:szCs w:val="24"/>
              </w:rPr>
              <w:t xml:space="preserve"> </w:t>
            </w:r>
            <w:r w:rsidRPr="00725535">
              <w:rPr>
                <w:rFonts w:ascii="標楷體" w:eastAsia="標楷體" w:hAnsi="標楷體" w:hint="eastAsia"/>
                <w:szCs w:val="24"/>
              </w:rPr>
              <w:t>本縣</w:t>
            </w:r>
            <w:r w:rsidRPr="005D156F">
              <w:rPr>
                <w:rFonts w:ascii="標楷體" w:eastAsia="標楷體" w:hAnsi="標楷體" w:hint="eastAsia"/>
                <w:u w:val="single"/>
              </w:rPr>
              <w:t>非屬中央主管機關</w:t>
            </w:r>
            <w:r w:rsidRPr="005D156F">
              <w:rPr>
                <w:rFonts w:ascii="標楷體" w:eastAsia="標楷體" w:hAnsi="標楷體" w:hint="eastAsia"/>
                <w:noProof/>
                <w:u w:val="single"/>
              </w:rPr>
              <w:t>公告應建立食品追溯追蹤系統之</w:t>
            </w:r>
            <w:r w:rsidRPr="005D156F">
              <w:rPr>
                <w:rFonts w:ascii="標楷體" w:eastAsia="標楷體" w:hAnsi="標楷體" w:hint="eastAsia"/>
                <w:szCs w:val="24"/>
              </w:rPr>
              <w:t>食品業者使用之</w:t>
            </w:r>
            <w:proofErr w:type="gramStart"/>
            <w:r w:rsidRPr="005D156F">
              <w:rPr>
                <w:rFonts w:ascii="標楷體" w:eastAsia="標楷體" w:hAnsi="標楷體" w:hint="eastAsia"/>
                <w:szCs w:val="24"/>
              </w:rPr>
              <w:t>原物料或販售</w:t>
            </w:r>
            <w:proofErr w:type="gramEnd"/>
            <w:r w:rsidRPr="005D156F">
              <w:rPr>
                <w:rFonts w:ascii="標楷體" w:eastAsia="標楷體" w:hAnsi="標楷體" w:hint="eastAsia"/>
                <w:szCs w:val="24"/>
              </w:rPr>
              <w:t>之食品，應有明確來源，產</w:t>
            </w:r>
            <w:r w:rsidRPr="00725535">
              <w:rPr>
                <w:rFonts w:ascii="標楷體" w:eastAsia="標楷體" w:hAnsi="標楷體" w:hint="eastAsia"/>
                <w:szCs w:val="24"/>
              </w:rPr>
              <w:t>品流向資料，其來源及流向應包括上游供應廠商名稱、地址及電話號碼或其它足以追溯來源之資訊；食品製造業者其追溯追蹤的資料應至少保存</w:t>
            </w:r>
            <w:r>
              <w:rPr>
                <w:rFonts w:ascii="標楷體" w:eastAsia="標楷體" w:hAnsi="標楷體" w:hint="eastAsia"/>
                <w:szCs w:val="24"/>
              </w:rPr>
              <w:t>五</w:t>
            </w:r>
            <w:r w:rsidRPr="00725535">
              <w:rPr>
                <w:rFonts w:ascii="標楷體" w:eastAsia="標楷體" w:hAnsi="標楷體" w:hint="eastAsia"/>
                <w:szCs w:val="24"/>
              </w:rPr>
              <w:t>年，提供主管機關查核。</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hint="eastAsia"/>
                <w:noProof/>
                <w:szCs w:val="24"/>
              </w:rPr>
            </w:pPr>
            <w:r w:rsidRPr="00725535">
              <w:rPr>
                <w:rFonts w:ascii="標楷體" w:eastAsia="標楷體" w:hAnsi="標楷體" w:hint="eastAsia"/>
                <w:noProof/>
                <w:szCs w:val="24"/>
              </w:rPr>
              <w:t>強化食品業者建立產品來源及流向之追溯追蹤機制，落實源頭及業者自主管理，俾利釐清食品業者之行政責任並保護消費者權益。</w:t>
            </w:r>
          </w:p>
        </w:tc>
      </w:tr>
      <w:tr w:rsidR="00162295" w:rsidRPr="006A2F25" w:rsidTr="002A1733">
        <w:trPr>
          <w:jc w:val="center"/>
        </w:trPr>
        <w:tc>
          <w:tcPr>
            <w:tcW w:w="5067" w:type="dxa"/>
            <w:shd w:val="clear" w:color="auto" w:fill="auto"/>
          </w:tcPr>
          <w:p w:rsidR="00162295" w:rsidRPr="00725535" w:rsidRDefault="00162295" w:rsidP="002A1733">
            <w:pPr>
              <w:tabs>
                <w:tab w:val="left" w:pos="9214"/>
              </w:tabs>
              <w:adjustRightInd w:val="0"/>
              <w:snapToGrid w:val="0"/>
              <w:ind w:left="200" w:hangingChars="100" w:hanging="200"/>
              <w:jc w:val="both"/>
              <w:rPr>
                <w:rFonts w:ascii="標楷體" w:eastAsia="標楷體" w:hAnsi="標楷體"/>
                <w:szCs w:val="24"/>
              </w:rPr>
            </w:pPr>
            <w:r w:rsidRPr="00725535">
              <w:rPr>
                <w:rFonts w:ascii="標楷體" w:eastAsia="標楷體" w:hAnsi="標楷體" w:hint="eastAsia"/>
                <w:szCs w:val="24"/>
              </w:rPr>
              <w:t>第</w:t>
            </w:r>
            <w:r>
              <w:rPr>
                <w:rFonts w:ascii="標楷體" w:eastAsia="標楷體" w:hAnsi="標楷體" w:hint="eastAsia"/>
                <w:szCs w:val="24"/>
              </w:rPr>
              <w:t>九</w:t>
            </w:r>
            <w:r w:rsidRPr="00725535">
              <w:rPr>
                <w:rFonts w:ascii="標楷體" w:eastAsia="標楷體" w:hAnsi="標楷體" w:hint="eastAsia"/>
                <w:szCs w:val="24"/>
              </w:rPr>
              <w:t>條</w:t>
            </w:r>
            <w:r>
              <w:rPr>
                <w:rFonts w:ascii="標楷體" w:eastAsia="標楷體" w:hAnsi="標楷體" w:hint="eastAsia"/>
                <w:szCs w:val="24"/>
              </w:rPr>
              <w:t xml:space="preserve"> </w:t>
            </w:r>
            <w:r w:rsidRPr="00725535">
              <w:rPr>
                <w:rFonts w:ascii="標楷體" w:eastAsia="標楷體" w:hAnsi="標楷體" w:hint="eastAsia"/>
                <w:szCs w:val="24"/>
              </w:rPr>
              <w:t>食品業者應定期檢查庫存食品，並及時清理變質及超過有效日期之食品。</w:t>
            </w:r>
          </w:p>
          <w:p w:rsidR="00162295" w:rsidRPr="00725535" w:rsidRDefault="00162295" w:rsidP="002A1733">
            <w:pPr>
              <w:adjustRightInd w:val="0"/>
              <w:snapToGrid w:val="0"/>
              <w:ind w:left="200" w:hangingChars="100" w:hanging="200"/>
              <w:jc w:val="both"/>
              <w:rPr>
                <w:rFonts w:ascii="標楷體" w:eastAsia="標楷體" w:hAnsi="標楷體"/>
                <w:szCs w:val="24"/>
              </w:rPr>
            </w:pPr>
            <w:r>
              <w:rPr>
                <w:rFonts w:ascii="標楷體" w:eastAsia="標楷體" w:hAnsi="標楷體" w:hint="eastAsia"/>
                <w:szCs w:val="24"/>
              </w:rPr>
              <w:t xml:space="preserve">     </w:t>
            </w:r>
            <w:r w:rsidRPr="00725535">
              <w:rPr>
                <w:rFonts w:ascii="標楷體" w:eastAsia="標楷體" w:hAnsi="標楷體" w:hint="eastAsia"/>
                <w:szCs w:val="24"/>
              </w:rPr>
              <w:t>前項庫存食品貯存區與待報廢區及退貨區應明顯區隔及標示。</w:t>
            </w:r>
          </w:p>
          <w:p w:rsidR="00162295" w:rsidRPr="00725535" w:rsidRDefault="00162295" w:rsidP="002A1733">
            <w:pPr>
              <w:tabs>
                <w:tab w:val="left" w:pos="9214"/>
              </w:tabs>
              <w:adjustRightInd w:val="0"/>
              <w:snapToGrid w:val="0"/>
              <w:ind w:left="200" w:hangingChars="100" w:hanging="200"/>
              <w:jc w:val="both"/>
              <w:rPr>
                <w:rFonts w:ascii="標楷體" w:eastAsia="標楷體" w:hAnsi="標楷體" w:hint="eastAsia"/>
                <w:szCs w:val="24"/>
              </w:rPr>
            </w:pPr>
            <w:r>
              <w:rPr>
                <w:rFonts w:ascii="標楷體" w:eastAsia="標楷體" w:hAnsi="標楷體" w:hint="eastAsia"/>
                <w:szCs w:val="24"/>
              </w:rPr>
              <w:t xml:space="preserve">     第一項</w:t>
            </w:r>
            <w:r w:rsidRPr="00725535">
              <w:rPr>
                <w:rFonts w:ascii="標楷體" w:eastAsia="標楷體" w:hAnsi="標楷體" w:hint="eastAsia"/>
                <w:szCs w:val="24"/>
              </w:rPr>
              <w:t>變質或逾有效日期之食品屬廢棄物，其清除及處理方式應依廢棄物清理及其相關法規規定辦理。</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hint="eastAsia"/>
                <w:noProof/>
                <w:szCs w:val="24"/>
              </w:rPr>
            </w:pPr>
            <w:r w:rsidRPr="00725535">
              <w:rPr>
                <w:rFonts w:ascii="標楷體" w:eastAsia="標楷體" w:hAnsi="標楷體" w:hint="eastAsia"/>
                <w:noProof/>
                <w:szCs w:val="24"/>
              </w:rPr>
              <w:t>規範食品業者針對庫存產品儲存及清理的責任，避免誤用逾期原物料，降低食</w:t>
            </w:r>
            <w:r>
              <w:rPr>
                <w:rFonts w:ascii="標楷體" w:eastAsia="標楷體" w:hAnsi="標楷體" w:hint="eastAsia"/>
                <w:noProof/>
                <w:szCs w:val="24"/>
              </w:rPr>
              <w:t>安</w:t>
            </w:r>
            <w:r w:rsidRPr="00725535">
              <w:rPr>
                <w:rFonts w:ascii="標楷體" w:eastAsia="標楷體" w:hAnsi="標楷體" w:hint="eastAsia"/>
                <w:noProof/>
                <w:szCs w:val="24"/>
              </w:rPr>
              <w:t>事件發生。</w:t>
            </w:r>
          </w:p>
        </w:tc>
      </w:tr>
      <w:tr w:rsidR="00162295" w:rsidRPr="006A2F25" w:rsidTr="002A1733">
        <w:trPr>
          <w:jc w:val="center"/>
        </w:trPr>
        <w:tc>
          <w:tcPr>
            <w:tcW w:w="5067" w:type="dxa"/>
            <w:shd w:val="clear" w:color="auto" w:fill="auto"/>
          </w:tcPr>
          <w:p w:rsidR="00162295" w:rsidRPr="002673E2" w:rsidRDefault="00162295" w:rsidP="002A1733">
            <w:pPr>
              <w:ind w:left="200" w:hangingChars="100" w:hanging="200"/>
              <w:jc w:val="both"/>
              <w:rPr>
                <w:rFonts w:ascii="標楷體" w:eastAsia="標楷體" w:hAnsi="標楷體" w:hint="eastAsia"/>
              </w:rPr>
            </w:pPr>
            <w:r w:rsidRPr="002673E2">
              <w:rPr>
                <w:rFonts w:ascii="標楷體" w:eastAsia="標楷體" w:hAnsi="標楷體" w:hint="eastAsia"/>
              </w:rPr>
              <w:t>第十條</w:t>
            </w:r>
            <w:r>
              <w:rPr>
                <w:rFonts w:ascii="標楷體" w:eastAsia="標楷體" w:hAnsi="標楷體" w:hint="eastAsia"/>
              </w:rPr>
              <w:t xml:space="preserve"> </w:t>
            </w:r>
            <w:r w:rsidRPr="002673E2">
              <w:rPr>
                <w:rFonts w:ascii="標楷體" w:eastAsia="標楷體" w:hAnsi="標楷體" w:hint="eastAsia"/>
              </w:rPr>
              <w:t>本縣學校食材之食品供應商，應依食品</w:t>
            </w:r>
            <w:r>
              <w:rPr>
                <w:rFonts w:ascii="標楷體" w:eastAsia="標楷體" w:hAnsi="標楷體" w:hint="eastAsia"/>
              </w:rPr>
              <w:t xml:space="preserve"> </w:t>
            </w:r>
            <w:r w:rsidRPr="002673E2">
              <w:rPr>
                <w:rFonts w:ascii="標楷體" w:eastAsia="標楷體" w:hAnsi="標楷體" w:hint="eastAsia"/>
              </w:rPr>
              <w:t xml:space="preserve">業者登錄辦法之規定完成登錄並於每年七月完成確認之食品業者，學校單位始可與其供應商交易。 </w:t>
            </w:r>
          </w:p>
        </w:tc>
        <w:tc>
          <w:tcPr>
            <w:tcW w:w="4641" w:type="dxa"/>
            <w:shd w:val="clear" w:color="auto" w:fill="auto"/>
          </w:tcPr>
          <w:p w:rsidR="00162295" w:rsidRPr="002673E2" w:rsidRDefault="00162295" w:rsidP="002A1733">
            <w:pPr>
              <w:jc w:val="both"/>
              <w:rPr>
                <w:rFonts w:ascii="標楷體" w:eastAsia="標楷體" w:hAnsi="標楷體"/>
              </w:rPr>
            </w:pPr>
            <w:r w:rsidRPr="002673E2">
              <w:rPr>
                <w:rFonts w:ascii="標楷體" w:eastAsia="標楷體" w:hAnsi="標楷體" w:hint="eastAsia"/>
              </w:rPr>
              <w:t>確保食品業者登錄資料最新且正確，</w:t>
            </w:r>
            <w:proofErr w:type="gramStart"/>
            <w:r w:rsidRPr="002673E2">
              <w:rPr>
                <w:rFonts w:ascii="標楷體" w:eastAsia="標楷體" w:hAnsi="標楷體" w:hint="eastAsia"/>
              </w:rPr>
              <w:t>俾</w:t>
            </w:r>
            <w:proofErr w:type="gramEnd"/>
            <w:r w:rsidRPr="002673E2">
              <w:rPr>
                <w:rFonts w:ascii="標楷體" w:eastAsia="標楷體" w:hAnsi="標楷體" w:hint="eastAsia"/>
              </w:rPr>
              <w:t>利追溯追蹤學校食材供應商，以掌握學校食品安全衛生</w:t>
            </w:r>
            <w:r>
              <w:rPr>
                <w:rFonts w:ascii="標楷體" w:eastAsia="標楷體" w:hAnsi="標楷體" w:hint="eastAsia"/>
              </w:rPr>
              <w:t>，保障學童健康</w:t>
            </w:r>
            <w:r w:rsidRPr="002673E2">
              <w:rPr>
                <w:rFonts w:ascii="標楷體" w:eastAsia="標楷體" w:hAnsi="標楷體" w:hint="eastAsia"/>
              </w:rPr>
              <w:t>。</w:t>
            </w:r>
          </w:p>
        </w:tc>
      </w:tr>
      <w:tr w:rsidR="00162295" w:rsidRPr="006A2F25" w:rsidTr="002A1733">
        <w:trPr>
          <w:jc w:val="center"/>
        </w:trPr>
        <w:tc>
          <w:tcPr>
            <w:tcW w:w="5067" w:type="dxa"/>
            <w:shd w:val="clear" w:color="auto" w:fill="auto"/>
          </w:tcPr>
          <w:p w:rsidR="00162295" w:rsidRPr="00725535" w:rsidRDefault="00162295" w:rsidP="002A1733">
            <w:pPr>
              <w:tabs>
                <w:tab w:val="left" w:pos="9214"/>
              </w:tabs>
              <w:adjustRightInd w:val="0"/>
              <w:snapToGrid w:val="0"/>
              <w:ind w:left="200" w:hangingChars="100" w:hanging="200"/>
              <w:jc w:val="both"/>
              <w:rPr>
                <w:rFonts w:ascii="標楷體" w:eastAsia="標楷體" w:hAnsi="標楷體"/>
                <w:szCs w:val="24"/>
              </w:rPr>
            </w:pPr>
            <w:r w:rsidRPr="00B24B9E">
              <w:rPr>
                <w:rFonts w:ascii="標楷體" w:eastAsia="標楷體" w:hAnsi="標楷體" w:hint="eastAsia"/>
                <w:color w:val="000000"/>
                <w:szCs w:val="24"/>
              </w:rPr>
              <w:t>第十一條</w:t>
            </w:r>
            <w:r>
              <w:rPr>
                <w:rFonts w:ascii="標楷體" w:eastAsia="標楷體" w:hAnsi="標楷體" w:hint="eastAsia"/>
                <w:color w:val="000000"/>
                <w:szCs w:val="24"/>
              </w:rPr>
              <w:t xml:space="preserve"> </w:t>
            </w:r>
            <w:r w:rsidRPr="00B24B9E">
              <w:rPr>
                <w:rFonts w:ascii="標楷體" w:eastAsia="標楷體" w:hAnsi="標楷體" w:hint="eastAsia"/>
                <w:color w:val="000000"/>
                <w:szCs w:val="24"/>
              </w:rPr>
              <w:t>本府建設處應督導公有零售市場或攤販集中場之</w:t>
            </w:r>
            <w:r w:rsidRPr="00725535">
              <w:rPr>
                <w:rFonts w:ascii="標楷體" w:eastAsia="標楷體" w:hAnsi="標楷體" w:hint="eastAsia"/>
                <w:szCs w:val="24"/>
              </w:rPr>
              <w:t>進駐食品業者列冊管理，並應於每年七月完成食品業者登錄確認。</w:t>
            </w:r>
          </w:p>
        </w:tc>
        <w:tc>
          <w:tcPr>
            <w:tcW w:w="4641" w:type="dxa"/>
            <w:shd w:val="clear" w:color="auto" w:fill="auto"/>
          </w:tcPr>
          <w:p w:rsidR="00162295" w:rsidRPr="00725535" w:rsidRDefault="00162295" w:rsidP="002A1733">
            <w:pPr>
              <w:jc w:val="both"/>
              <w:rPr>
                <w:rFonts w:ascii="標楷體" w:eastAsia="標楷體" w:hAnsi="標楷體"/>
                <w:szCs w:val="24"/>
              </w:rPr>
            </w:pPr>
            <w:r w:rsidRPr="00725535">
              <w:rPr>
                <w:rFonts w:ascii="標楷體" w:eastAsia="標楷體" w:hAnsi="標楷體" w:hint="eastAsia"/>
                <w:szCs w:val="24"/>
              </w:rPr>
              <w:t>加強食品攤販業者食品登錄資料正確之維護，落實業者自主管理，提升食品安全管理。</w:t>
            </w:r>
          </w:p>
        </w:tc>
      </w:tr>
      <w:tr w:rsidR="00162295" w:rsidRPr="006A2F25" w:rsidTr="002A1733">
        <w:trPr>
          <w:trHeight w:val="1559"/>
          <w:jc w:val="center"/>
        </w:trPr>
        <w:tc>
          <w:tcPr>
            <w:tcW w:w="5067" w:type="dxa"/>
            <w:shd w:val="clear" w:color="auto" w:fill="auto"/>
          </w:tcPr>
          <w:p w:rsidR="00162295" w:rsidRPr="000A52CF" w:rsidRDefault="00162295" w:rsidP="002A1733">
            <w:pPr>
              <w:tabs>
                <w:tab w:val="left" w:pos="4817"/>
                <w:tab w:val="left" w:pos="9214"/>
              </w:tabs>
              <w:adjustRightInd w:val="0"/>
              <w:snapToGrid w:val="0"/>
              <w:ind w:left="200" w:hangingChars="100" w:hanging="200"/>
              <w:jc w:val="both"/>
              <w:rPr>
                <w:rFonts w:ascii="標楷體" w:eastAsia="標楷體" w:hAnsi="標楷體" w:hint="eastAsia"/>
                <w:color w:val="000000"/>
                <w:szCs w:val="24"/>
              </w:rPr>
            </w:pPr>
            <w:r w:rsidRPr="000A52CF">
              <w:rPr>
                <w:rFonts w:ascii="標楷體" w:eastAsia="標楷體" w:hAnsi="標楷體" w:hint="eastAsia"/>
                <w:color w:val="000000"/>
                <w:szCs w:val="24"/>
              </w:rPr>
              <w:t>第十二條</w:t>
            </w:r>
            <w:r>
              <w:rPr>
                <w:rFonts w:ascii="標楷體" w:eastAsia="標楷體" w:hAnsi="標楷體" w:hint="eastAsia"/>
                <w:color w:val="000000"/>
                <w:szCs w:val="24"/>
              </w:rPr>
              <w:t xml:space="preserve"> </w:t>
            </w:r>
            <w:proofErr w:type="gramStart"/>
            <w:r w:rsidRPr="000A52CF">
              <w:rPr>
                <w:rFonts w:ascii="標楷體" w:eastAsia="標楷體" w:hAnsi="標楷體" w:hint="eastAsia"/>
                <w:color w:val="000000"/>
                <w:szCs w:val="24"/>
              </w:rPr>
              <w:t>本府農漁</w:t>
            </w:r>
            <w:proofErr w:type="gramEnd"/>
            <w:r w:rsidRPr="000A52CF">
              <w:rPr>
                <w:rFonts w:ascii="標楷體" w:eastAsia="標楷體" w:hAnsi="標楷體" w:hint="eastAsia"/>
                <w:color w:val="000000"/>
                <w:szCs w:val="24"/>
              </w:rPr>
              <w:t>局得定期或不定期檢驗本縣未上市農、畜、禽、水產品，如不符相關法令時，</w:t>
            </w:r>
            <w:proofErr w:type="gramStart"/>
            <w:r w:rsidRPr="000A52CF">
              <w:rPr>
                <w:rFonts w:ascii="標楷體" w:eastAsia="標楷體" w:hAnsi="標楷體" w:hint="eastAsia"/>
                <w:color w:val="000000"/>
                <w:szCs w:val="24"/>
              </w:rPr>
              <w:t>應命其</w:t>
            </w:r>
            <w:proofErr w:type="gramEnd"/>
            <w:r w:rsidRPr="000A52CF">
              <w:rPr>
                <w:rFonts w:ascii="標楷體" w:eastAsia="標楷體" w:hAnsi="標楷體" w:hint="eastAsia"/>
                <w:color w:val="000000"/>
                <w:szCs w:val="24"/>
              </w:rPr>
              <w:t>生產者或所有人進行改善或配合</w:t>
            </w:r>
            <w:proofErr w:type="gramStart"/>
            <w:r w:rsidRPr="000A52CF">
              <w:rPr>
                <w:rFonts w:ascii="標楷體" w:eastAsia="標楷體" w:hAnsi="標楷體" w:hint="eastAsia"/>
                <w:color w:val="000000"/>
                <w:szCs w:val="24"/>
              </w:rPr>
              <w:t>採</w:t>
            </w:r>
            <w:proofErr w:type="gramEnd"/>
            <w:r w:rsidRPr="000A52CF">
              <w:rPr>
                <w:rFonts w:ascii="標楷體" w:eastAsia="標楷體" w:hAnsi="標楷體" w:hint="eastAsia"/>
                <w:color w:val="000000"/>
                <w:szCs w:val="24"/>
              </w:rPr>
              <w:t>樣抽驗；必要時，並得命其禁止撈捕、移動、搬運、上市或採取其他必要措施。</w:t>
            </w:r>
          </w:p>
        </w:tc>
        <w:tc>
          <w:tcPr>
            <w:tcW w:w="4641" w:type="dxa"/>
            <w:shd w:val="clear" w:color="auto" w:fill="auto"/>
          </w:tcPr>
          <w:p w:rsidR="00162295" w:rsidRPr="000A52CF" w:rsidRDefault="00162295" w:rsidP="002A1733">
            <w:pPr>
              <w:overflowPunct w:val="0"/>
              <w:jc w:val="both"/>
              <w:textAlignment w:val="baseline"/>
              <w:rPr>
                <w:rFonts w:ascii="標楷體" w:eastAsia="標楷體" w:hAnsi="標楷體"/>
                <w:noProof/>
                <w:color w:val="000000"/>
                <w:szCs w:val="24"/>
              </w:rPr>
            </w:pPr>
            <w:r w:rsidRPr="000A52CF">
              <w:rPr>
                <w:rFonts w:ascii="標楷體" w:eastAsia="標楷體" w:hAnsi="標楷體" w:hint="eastAsia"/>
                <w:color w:val="000000"/>
                <w:szCs w:val="24"/>
              </w:rPr>
              <w:t>農、畜、禽、水產品</w:t>
            </w:r>
            <w:r w:rsidRPr="000A52CF">
              <w:rPr>
                <w:rFonts w:ascii="標楷體" w:eastAsia="標楷體" w:hAnsi="標楷體" w:hint="eastAsia"/>
                <w:noProof/>
                <w:color w:val="000000"/>
                <w:szCs w:val="24"/>
              </w:rPr>
              <w:t>經檢驗不符合標準等相關法令，農漁局應命進行改善或禁止其上市。</w:t>
            </w:r>
          </w:p>
        </w:tc>
      </w:tr>
      <w:tr w:rsidR="00162295" w:rsidRPr="006A2F25" w:rsidTr="002A1733">
        <w:trPr>
          <w:trHeight w:val="1559"/>
          <w:jc w:val="center"/>
        </w:trPr>
        <w:tc>
          <w:tcPr>
            <w:tcW w:w="5067" w:type="dxa"/>
            <w:shd w:val="clear" w:color="auto" w:fill="auto"/>
          </w:tcPr>
          <w:p w:rsidR="00162295" w:rsidRPr="00725535" w:rsidRDefault="00162295" w:rsidP="002A1733">
            <w:pPr>
              <w:tabs>
                <w:tab w:val="left" w:pos="4817"/>
                <w:tab w:val="left" w:pos="9214"/>
              </w:tabs>
              <w:adjustRightInd w:val="0"/>
              <w:snapToGrid w:val="0"/>
              <w:ind w:left="200" w:hangingChars="100" w:hanging="200"/>
              <w:jc w:val="both"/>
              <w:rPr>
                <w:rFonts w:ascii="標楷體" w:eastAsia="標楷體" w:hAnsi="標楷體" w:hint="eastAsia"/>
                <w:szCs w:val="24"/>
              </w:rPr>
            </w:pPr>
            <w:r w:rsidRPr="00725535">
              <w:rPr>
                <w:rFonts w:ascii="標楷體" w:eastAsia="標楷體" w:hAnsi="標楷體" w:hint="eastAsia"/>
                <w:szCs w:val="24"/>
              </w:rPr>
              <w:t>第十三條</w:t>
            </w:r>
            <w:r>
              <w:rPr>
                <w:rFonts w:ascii="標楷體" w:eastAsia="標楷體" w:hAnsi="標楷體" w:hint="eastAsia"/>
                <w:szCs w:val="24"/>
              </w:rPr>
              <w:t xml:space="preserve"> </w:t>
            </w:r>
            <w:r w:rsidRPr="00725535">
              <w:rPr>
                <w:rFonts w:ascii="標楷體" w:eastAsia="標楷體" w:hAnsi="標楷體" w:hint="eastAsia"/>
                <w:szCs w:val="24"/>
              </w:rPr>
              <w:t>本府對於檢舉查獲之重大違反食品安全衛生管理法案件，除應對檢舉人身分資料嚴守保密外，並得酌予獎勵;其一般民眾檢舉獎金</w:t>
            </w:r>
            <w:r>
              <w:rPr>
                <w:rFonts w:ascii="新細明體" w:hAnsi="新細明體" w:hint="eastAsia"/>
                <w:szCs w:val="24"/>
              </w:rPr>
              <w:t>，</w:t>
            </w:r>
            <w:r w:rsidRPr="00725535">
              <w:rPr>
                <w:rFonts w:ascii="標楷體" w:eastAsia="標楷體" w:hAnsi="標楷體" w:hint="eastAsia"/>
                <w:szCs w:val="24"/>
              </w:rPr>
              <w:t>不得低於實收罰鍰金額之百分之二十，</w:t>
            </w:r>
            <w:r w:rsidRPr="005D156F">
              <w:rPr>
                <w:rFonts w:ascii="標楷體" w:eastAsia="標楷體" w:hAnsi="標楷體" w:hint="eastAsia"/>
                <w:szCs w:val="24"/>
              </w:rPr>
              <w:t>被檢舉者之現職</w:t>
            </w:r>
            <w:r w:rsidRPr="00725535">
              <w:rPr>
                <w:rFonts w:ascii="標楷體" w:eastAsia="標楷體" w:hAnsi="標楷體" w:hint="eastAsia"/>
                <w:szCs w:val="24"/>
              </w:rPr>
              <w:t>員工檢舉獎金</w:t>
            </w:r>
            <w:r>
              <w:rPr>
                <w:rFonts w:ascii="新細明體" w:hAnsi="新細明體" w:hint="eastAsia"/>
                <w:szCs w:val="24"/>
              </w:rPr>
              <w:t>，</w:t>
            </w:r>
            <w:r w:rsidRPr="00725535">
              <w:rPr>
                <w:rFonts w:ascii="標楷體" w:eastAsia="標楷體" w:hAnsi="標楷體" w:hint="eastAsia"/>
                <w:szCs w:val="24"/>
              </w:rPr>
              <w:t>不得低於實收罰鍰金額之百分之五十</w:t>
            </w:r>
            <w:r>
              <w:rPr>
                <w:rFonts w:ascii="標楷體" w:eastAsia="標楷體" w:hAnsi="標楷體" w:hint="eastAsia"/>
                <w:szCs w:val="24"/>
              </w:rPr>
              <w:t>。</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hint="eastAsia"/>
                <w:noProof/>
                <w:szCs w:val="24"/>
              </w:rPr>
            </w:pPr>
            <w:r w:rsidRPr="00725535">
              <w:rPr>
                <w:rFonts w:ascii="標楷體" w:eastAsia="標楷體" w:hAnsi="標楷體" w:hint="eastAsia"/>
                <w:noProof/>
                <w:szCs w:val="24"/>
              </w:rPr>
              <w:t>本府應獎勵舉發重大違反食品安全衛生管理法案件之檢舉人，並保密檢舉人個人資料。</w:t>
            </w:r>
          </w:p>
        </w:tc>
      </w:tr>
      <w:tr w:rsidR="00162295" w:rsidRPr="006A2F25" w:rsidTr="002A1733">
        <w:trPr>
          <w:trHeight w:val="1559"/>
          <w:jc w:val="center"/>
        </w:trPr>
        <w:tc>
          <w:tcPr>
            <w:tcW w:w="5067" w:type="dxa"/>
            <w:shd w:val="clear" w:color="auto" w:fill="auto"/>
          </w:tcPr>
          <w:p w:rsidR="00162295" w:rsidRPr="00725535" w:rsidRDefault="00162295" w:rsidP="002A1733">
            <w:pPr>
              <w:tabs>
                <w:tab w:val="left" w:pos="4817"/>
                <w:tab w:val="left" w:pos="9214"/>
              </w:tabs>
              <w:adjustRightInd w:val="0"/>
              <w:snapToGrid w:val="0"/>
              <w:ind w:left="200" w:hangingChars="100" w:hanging="200"/>
              <w:jc w:val="both"/>
              <w:rPr>
                <w:rFonts w:ascii="標楷體" w:eastAsia="標楷體" w:hAnsi="標楷體" w:hint="eastAsia"/>
                <w:szCs w:val="24"/>
              </w:rPr>
            </w:pPr>
            <w:r w:rsidRPr="00725535">
              <w:rPr>
                <w:rFonts w:ascii="標楷體" w:eastAsia="標楷體" w:hAnsi="標楷體" w:hint="eastAsia"/>
                <w:szCs w:val="24"/>
              </w:rPr>
              <w:lastRenderedPageBreak/>
              <w:t>第十四條</w:t>
            </w:r>
            <w:r>
              <w:rPr>
                <w:rFonts w:ascii="標楷體" w:eastAsia="標楷體" w:hAnsi="標楷體" w:hint="eastAsia"/>
                <w:szCs w:val="24"/>
              </w:rPr>
              <w:t xml:space="preserve"> </w:t>
            </w:r>
            <w:r w:rsidRPr="00D13883">
              <w:rPr>
                <w:rFonts w:ascii="標楷體" w:eastAsia="標楷體" w:hAnsi="標楷體" w:hint="eastAsia"/>
                <w:szCs w:val="24"/>
              </w:rPr>
              <w:t>違反第四條</w:t>
            </w:r>
            <w:r w:rsidRPr="002B5DF2">
              <w:rPr>
                <w:rFonts w:ascii="標楷體" w:eastAsia="標楷體" w:hAnsi="標楷體" w:hint="eastAsia"/>
                <w:szCs w:val="24"/>
              </w:rPr>
              <w:t>第二項或第四項、</w:t>
            </w:r>
            <w:r w:rsidRPr="00D13883">
              <w:rPr>
                <w:rFonts w:ascii="標楷體" w:eastAsia="標楷體" w:hAnsi="標楷體" w:hint="eastAsia"/>
                <w:szCs w:val="24"/>
              </w:rPr>
              <w:t>第八條、第十二條規定，得命限期改善，屆期未改善者，處新臺幣五千元以上三萬元以下罰鍰，並得按次連續處罰至改善為止。</w:t>
            </w:r>
          </w:p>
        </w:tc>
        <w:tc>
          <w:tcPr>
            <w:tcW w:w="4641" w:type="dxa"/>
            <w:shd w:val="clear" w:color="auto" w:fill="auto"/>
          </w:tcPr>
          <w:p w:rsidR="00162295" w:rsidRPr="00725535" w:rsidRDefault="00162295" w:rsidP="002A1733">
            <w:pPr>
              <w:overflowPunct w:val="0"/>
              <w:jc w:val="both"/>
              <w:textAlignment w:val="baseline"/>
              <w:rPr>
                <w:rFonts w:ascii="標楷體" w:eastAsia="標楷體" w:hAnsi="標楷體" w:hint="eastAsia"/>
                <w:noProof/>
                <w:szCs w:val="24"/>
              </w:rPr>
            </w:pPr>
            <w:r w:rsidRPr="004010CB">
              <w:rPr>
                <w:rFonts w:ascii="標楷體" w:eastAsia="標楷體" w:hAnsi="標楷體" w:hint="eastAsia"/>
                <w:noProof/>
                <w:szCs w:val="24"/>
              </w:rPr>
              <w:t>違反第四條</w:t>
            </w:r>
            <w:r w:rsidRPr="002B5DF2">
              <w:rPr>
                <w:rFonts w:ascii="標楷體" w:eastAsia="標楷體" w:hAnsi="標楷體" w:hint="eastAsia"/>
                <w:szCs w:val="24"/>
              </w:rPr>
              <w:t>第二項或第四項、</w:t>
            </w:r>
            <w:r w:rsidRPr="004010CB">
              <w:rPr>
                <w:rFonts w:ascii="標楷體" w:eastAsia="標楷體" w:hAnsi="標楷體" w:hint="eastAsia"/>
                <w:noProof/>
                <w:szCs w:val="24"/>
              </w:rPr>
              <w:t>第八條、第十二條規定</w:t>
            </w:r>
            <w:r w:rsidRPr="00725535">
              <w:rPr>
                <w:rFonts w:ascii="標楷體" w:eastAsia="標楷體" w:hAnsi="標楷體" w:hint="eastAsia"/>
                <w:noProof/>
                <w:szCs w:val="24"/>
              </w:rPr>
              <w:t>之處罰。</w:t>
            </w:r>
          </w:p>
        </w:tc>
      </w:tr>
      <w:tr w:rsidR="00162295" w:rsidRPr="006A2F25" w:rsidTr="002A1733">
        <w:trPr>
          <w:trHeight w:val="467"/>
          <w:jc w:val="center"/>
        </w:trPr>
        <w:tc>
          <w:tcPr>
            <w:tcW w:w="5067" w:type="dxa"/>
            <w:shd w:val="clear" w:color="auto" w:fill="auto"/>
          </w:tcPr>
          <w:p w:rsidR="00162295" w:rsidRPr="00725535" w:rsidRDefault="00162295" w:rsidP="002A1733">
            <w:pPr>
              <w:tabs>
                <w:tab w:val="left" w:pos="4817"/>
                <w:tab w:val="left" w:pos="9214"/>
              </w:tabs>
              <w:adjustRightInd w:val="0"/>
              <w:snapToGrid w:val="0"/>
              <w:ind w:left="200" w:hangingChars="100" w:hanging="200"/>
              <w:jc w:val="both"/>
              <w:rPr>
                <w:rFonts w:ascii="標楷體" w:eastAsia="標楷體" w:hAnsi="標楷體" w:hint="eastAsia"/>
                <w:szCs w:val="24"/>
              </w:rPr>
            </w:pPr>
            <w:r w:rsidRPr="00725535">
              <w:rPr>
                <w:rFonts w:ascii="標楷體" w:eastAsia="標楷體" w:hAnsi="標楷體" w:hint="eastAsia"/>
                <w:szCs w:val="24"/>
              </w:rPr>
              <w:t>第十五條</w:t>
            </w:r>
            <w:r>
              <w:rPr>
                <w:rFonts w:ascii="標楷體" w:eastAsia="標楷體" w:hAnsi="標楷體" w:hint="eastAsia"/>
                <w:szCs w:val="24"/>
              </w:rPr>
              <w:t xml:space="preserve"> </w:t>
            </w:r>
            <w:r w:rsidRPr="00992DA5">
              <w:rPr>
                <w:rFonts w:ascii="標楷體" w:eastAsia="標楷體" w:hAnsi="標楷體" w:hint="eastAsia"/>
                <w:szCs w:val="24"/>
              </w:rPr>
              <w:t>違反第六條、第七條</w:t>
            </w:r>
            <w:r>
              <w:rPr>
                <w:rFonts w:ascii="標楷體" w:eastAsia="標楷體" w:hAnsi="標楷體" w:hint="eastAsia"/>
                <w:szCs w:val="24"/>
              </w:rPr>
              <w:t>、</w:t>
            </w:r>
            <w:r w:rsidRPr="005D156F">
              <w:rPr>
                <w:rFonts w:ascii="標楷體" w:eastAsia="標楷體" w:hAnsi="標楷體" w:hint="eastAsia"/>
                <w:szCs w:val="24"/>
              </w:rPr>
              <w:t>第九條規</w:t>
            </w:r>
            <w:r w:rsidRPr="00992DA5">
              <w:rPr>
                <w:rFonts w:ascii="標楷體" w:eastAsia="標楷體" w:hAnsi="標楷體" w:hint="eastAsia"/>
                <w:szCs w:val="24"/>
              </w:rPr>
              <w:t>定者，依食品安全衛生管理法規定辦理</w:t>
            </w:r>
            <w:r w:rsidRPr="00725535">
              <w:rPr>
                <w:rFonts w:ascii="標楷體" w:eastAsia="標楷體" w:hAnsi="標楷體" w:hint="eastAsia"/>
                <w:szCs w:val="24"/>
              </w:rPr>
              <w:t>。</w:t>
            </w:r>
          </w:p>
        </w:tc>
        <w:tc>
          <w:tcPr>
            <w:tcW w:w="4641" w:type="dxa"/>
            <w:shd w:val="clear" w:color="auto" w:fill="auto"/>
          </w:tcPr>
          <w:p w:rsidR="00162295" w:rsidRPr="00725535" w:rsidRDefault="00162295" w:rsidP="002A1733">
            <w:pPr>
              <w:tabs>
                <w:tab w:val="left" w:pos="4817"/>
                <w:tab w:val="left" w:pos="9214"/>
              </w:tabs>
              <w:adjustRightInd w:val="0"/>
              <w:snapToGrid w:val="0"/>
              <w:ind w:leftChars="-1" w:left="-2" w:rightChars="-45" w:right="-90"/>
              <w:rPr>
                <w:rFonts w:ascii="標楷體" w:eastAsia="標楷體" w:hAnsi="標楷體" w:hint="eastAsia"/>
                <w:noProof/>
                <w:szCs w:val="24"/>
              </w:rPr>
            </w:pPr>
            <w:r w:rsidRPr="00725535">
              <w:rPr>
                <w:rFonts w:ascii="標楷體" w:eastAsia="標楷體" w:hAnsi="標楷體" w:hint="eastAsia"/>
                <w:szCs w:val="24"/>
              </w:rPr>
              <w:t>違反第</w:t>
            </w:r>
            <w:r>
              <w:rPr>
                <w:rFonts w:ascii="標楷體" w:eastAsia="標楷體" w:hAnsi="標楷體" w:hint="eastAsia"/>
                <w:szCs w:val="24"/>
              </w:rPr>
              <w:t>六</w:t>
            </w:r>
            <w:r w:rsidRPr="00725535">
              <w:rPr>
                <w:rFonts w:ascii="標楷體" w:eastAsia="標楷體" w:hAnsi="標楷體" w:hint="eastAsia"/>
                <w:szCs w:val="24"/>
              </w:rPr>
              <w:t>條、第</w:t>
            </w:r>
            <w:r>
              <w:rPr>
                <w:rFonts w:ascii="標楷體" w:eastAsia="標楷體" w:hAnsi="標楷體" w:hint="eastAsia"/>
                <w:szCs w:val="24"/>
              </w:rPr>
              <w:t>七</w:t>
            </w:r>
            <w:r w:rsidRPr="00725535">
              <w:rPr>
                <w:rFonts w:ascii="標楷體" w:eastAsia="標楷體" w:hAnsi="標楷體" w:hint="eastAsia"/>
                <w:szCs w:val="24"/>
              </w:rPr>
              <w:t>條</w:t>
            </w:r>
            <w:r w:rsidRPr="001054CE">
              <w:rPr>
                <w:rFonts w:ascii="標楷體" w:eastAsia="標楷體" w:hAnsi="標楷體" w:hint="eastAsia"/>
                <w:szCs w:val="24"/>
              </w:rPr>
              <w:t>、第九條</w:t>
            </w:r>
            <w:r w:rsidRPr="00725535">
              <w:rPr>
                <w:rFonts w:ascii="標楷體" w:eastAsia="標楷體" w:hAnsi="標楷體" w:hint="eastAsia"/>
                <w:szCs w:val="24"/>
              </w:rPr>
              <w:t>規定之處罰。</w:t>
            </w:r>
          </w:p>
        </w:tc>
      </w:tr>
      <w:tr w:rsidR="00162295" w:rsidRPr="006A2F25" w:rsidTr="002A1733">
        <w:trPr>
          <w:trHeight w:val="467"/>
          <w:jc w:val="center"/>
        </w:trPr>
        <w:tc>
          <w:tcPr>
            <w:tcW w:w="5067" w:type="dxa"/>
            <w:shd w:val="clear" w:color="auto" w:fill="auto"/>
          </w:tcPr>
          <w:p w:rsidR="00162295" w:rsidRPr="00725535" w:rsidRDefault="00162295" w:rsidP="002A1733">
            <w:pPr>
              <w:tabs>
                <w:tab w:val="left" w:pos="4817"/>
                <w:tab w:val="left" w:pos="9214"/>
              </w:tabs>
              <w:adjustRightInd w:val="0"/>
              <w:snapToGrid w:val="0"/>
              <w:ind w:left="200" w:hangingChars="100" w:hanging="200"/>
              <w:jc w:val="both"/>
              <w:rPr>
                <w:rFonts w:ascii="標楷體" w:eastAsia="標楷體" w:hAnsi="標楷體" w:hint="eastAsia"/>
                <w:szCs w:val="24"/>
              </w:rPr>
            </w:pPr>
            <w:r w:rsidRPr="00725535">
              <w:rPr>
                <w:rFonts w:ascii="標楷體" w:eastAsia="標楷體" w:hAnsi="標楷體" w:hint="eastAsia"/>
                <w:noProof/>
                <w:szCs w:val="24"/>
              </w:rPr>
              <w:t>第十六條</w:t>
            </w:r>
            <w:r>
              <w:rPr>
                <w:rFonts w:ascii="標楷體" w:eastAsia="標楷體" w:hAnsi="標楷體" w:hint="eastAsia"/>
                <w:noProof/>
                <w:szCs w:val="24"/>
              </w:rPr>
              <w:t xml:space="preserve"> </w:t>
            </w:r>
            <w:r w:rsidRPr="00D13883">
              <w:rPr>
                <w:rFonts w:ascii="標楷體" w:eastAsia="標楷體" w:hAnsi="標楷體" w:hint="eastAsia"/>
                <w:szCs w:val="24"/>
              </w:rPr>
              <w:t>違反第四條</w:t>
            </w:r>
            <w:r w:rsidRPr="002B5DF2">
              <w:rPr>
                <w:rFonts w:ascii="標楷體" w:eastAsia="標楷體" w:hAnsi="標楷體" w:hint="eastAsia"/>
                <w:szCs w:val="24"/>
              </w:rPr>
              <w:t>第三項</w:t>
            </w:r>
            <w:r w:rsidRPr="00D13883">
              <w:rPr>
                <w:rFonts w:ascii="標楷體" w:eastAsia="標楷體" w:hAnsi="標楷體" w:hint="eastAsia"/>
                <w:szCs w:val="24"/>
              </w:rPr>
              <w:t>規定，處新臺幣三萬元以下罰鍰，並得按次連續處罰至改善為止</w:t>
            </w:r>
            <w:r>
              <w:rPr>
                <w:rFonts w:ascii="新細明體" w:hAnsi="新細明體" w:hint="eastAsia"/>
                <w:szCs w:val="24"/>
              </w:rPr>
              <w:t>。</w:t>
            </w:r>
          </w:p>
        </w:tc>
        <w:tc>
          <w:tcPr>
            <w:tcW w:w="4641" w:type="dxa"/>
            <w:shd w:val="clear" w:color="auto" w:fill="auto"/>
          </w:tcPr>
          <w:p w:rsidR="00162295" w:rsidRPr="00725535" w:rsidRDefault="00162295" w:rsidP="002A1733">
            <w:pPr>
              <w:tabs>
                <w:tab w:val="left" w:pos="4817"/>
                <w:tab w:val="left" w:pos="9214"/>
              </w:tabs>
              <w:adjustRightInd w:val="0"/>
              <w:snapToGrid w:val="0"/>
              <w:ind w:leftChars="-1" w:left="-2" w:rightChars="-45" w:right="-90"/>
              <w:rPr>
                <w:rFonts w:ascii="標楷體" w:eastAsia="標楷體" w:hAnsi="標楷體" w:hint="eastAsia"/>
                <w:szCs w:val="24"/>
              </w:rPr>
            </w:pPr>
            <w:r w:rsidRPr="004010CB">
              <w:rPr>
                <w:rFonts w:ascii="標楷體" w:eastAsia="標楷體" w:hAnsi="標楷體" w:hint="eastAsia"/>
                <w:noProof/>
                <w:szCs w:val="24"/>
              </w:rPr>
              <w:t>違反第四條</w:t>
            </w:r>
            <w:r w:rsidRPr="002B5DF2">
              <w:rPr>
                <w:rFonts w:ascii="標楷體" w:eastAsia="標楷體" w:hAnsi="標楷體" w:hint="eastAsia"/>
                <w:szCs w:val="24"/>
              </w:rPr>
              <w:t>第三項</w:t>
            </w:r>
            <w:r w:rsidRPr="004010CB">
              <w:rPr>
                <w:rFonts w:ascii="標楷體" w:eastAsia="標楷體" w:hAnsi="標楷體" w:hint="eastAsia"/>
                <w:noProof/>
                <w:szCs w:val="24"/>
              </w:rPr>
              <w:t>規定</w:t>
            </w:r>
            <w:r w:rsidRPr="00725535">
              <w:rPr>
                <w:rFonts w:ascii="標楷體" w:eastAsia="標楷體" w:hAnsi="標楷體" w:hint="eastAsia"/>
                <w:noProof/>
                <w:szCs w:val="24"/>
              </w:rPr>
              <w:t>之處罰。</w:t>
            </w:r>
          </w:p>
        </w:tc>
      </w:tr>
      <w:tr w:rsidR="00162295" w:rsidRPr="006A2F25" w:rsidTr="002A1733">
        <w:trPr>
          <w:jc w:val="center"/>
        </w:trPr>
        <w:tc>
          <w:tcPr>
            <w:tcW w:w="5067" w:type="dxa"/>
            <w:shd w:val="clear" w:color="auto" w:fill="auto"/>
          </w:tcPr>
          <w:p w:rsidR="00162295" w:rsidRPr="00725535" w:rsidRDefault="00162295" w:rsidP="002A1733">
            <w:pPr>
              <w:overflowPunct w:val="0"/>
              <w:ind w:leftChars="-45" w:left="770" w:rightChars="30" w:right="60" w:hangingChars="430" w:hanging="860"/>
              <w:jc w:val="both"/>
              <w:rPr>
                <w:rFonts w:ascii="標楷體" w:eastAsia="標楷體" w:hAnsi="標楷體"/>
                <w:noProof/>
                <w:szCs w:val="24"/>
              </w:rPr>
            </w:pPr>
            <w:r w:rsidRPr="00725535">
              <w:rPr>
                <w:rFonts w:ascii="標楷體" w:eastAsia="標楷體" w:hAnsi="標楷體" w:hint="eastAsia"/>
                <w:noProof/>
                <w:szCs w:val="24"/>
              </w:rPr>
              <w:t xml:space="preserve"> 第十</w:t>
            </w:r>
            <w:r>
              <w:rPr>
                <w:rFonts w:ascii="標楷體" w:eastAsia="標楷體" w:hAnsi="標楷體" w:hint="eastAsia"/>
                <w:noProof/>
                <w:szCs w:val="24"/>
              </w:rPr>
              <w:t>七</w:t>
            </w:r>
            <w:r w:rsidRPr="00725535">
              <w:rPr>
                <w:rFonts w:ascii="標楷體" w:eastAsia="標楷體" w:hAnsi="標楷體" w:hint="eastAsia"/>
                <w:noProof/>
                <w:szCs w:val="24"/>
              </w:rPr>
              <w:t>條</w:t>
            </w:r>
            <w:r>
              <w:rPr>
                <w:rFonts w:ascii="標楷體" w:eastAsia="標楷體" w:hAnsi="標楷體" w:hint="eastAsia"/>
                <w:noProof/>
                <w:szCs w:val="24"/>
              </w:rPr>
              <w:t xml:space="preserve"> </w:t>
            </w:r>
            <w:r w:rsidRPr="00725535">
              <w:rPr>
                <w:rFonts w:ascii="標楷體" w:eastAsia="標楷體" w:hAnsi="標楷體" w:hint="eastAsia"/>
                <w:szCs w:val="24"/>
              </w:rPr>
              <w:t>本自治條例自公布日施行。</w:t>
            </w:r>
          </w:p>
        </w:tc>
        <w:tc>
          <w:tcPr>
            <w:tcW w:w="4641" w:type="dxa"/>
            <w:shd w:val="clear" w:color="auto" w:fill="auto"/>
          </w:tcPr>
          <w:p w:rsidR="00162295" w:rsidRPr="00725535" w:rsidRDefault="00162295" w:rsidP="002A1733">
            <w:pPr>
              <w:overflowPunct w:val="0"/>
              <w:jc w:val="both"/>
              <w:rPr>
                <w:rFonts w:ascii="標楷體" w:eastAsia="標楷體" w:hAnsi="標楷體"/>
                <w:szCs w:val="24"/>
              </w:rPr>
            </w:pPr>
            <w:r w:rsidRPr="00725535">
              <w:rPr>
                <w:rFonts w:ascii="標楷體" w:eastAsia="標楷體" w:hAnsi="標楷體" w:hint="eastAsia"/>
                <w:szCs w:val="24"/>
              </w:rPr>
              <w:t>本自治條例施行日期</w:t>
            </w:r>
          </w:p>
        </w:tc>
      </w:tr>
    </w:tbl>
    <w:p w:rsidR="00162295" w:rsidRPr="000C4F9B" w:rsidRDefault="00162295" w:rsidP="00162295">
      <w:pPr>
        <w:widowControl/>
        <w:overflowPunct w:val="0"/>
        <w:jc w:val="both"/>
        <w:rPr>
          <w:rFonts w:ascii="標楷體" w:eastAsia="標楷體" w:hAnsi="標楷體"/>
          <w:color w:val="FF0000"/>
          <w:szCs w:val="24"/>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162295" w:rsidRDefault="00162295" w:rsidP="00162295">
      <w:pPr>
        <w:jc w:val="center"/>
        <w:rPr>
          <w:rFonts w:ascii="標楷體" w:eastAsia="標楷體" w:hAnsi="標楷體"/>
          <w:color w:val="000000"/>
          <w:sz w:val="36"/>
          <w:szCs w:val="36"/>
        </w:rPr>
      </w:pPr>
    </w:p>
    <w:p w:rsidR="00311F8B" w:rsidRDefault="00311F8B"/>
    <w:sectPr w:rsidR="00311F8B" w:rsidSect="00311F8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C4B"/>
    <w:multiLevelType w:val="hybridMultilevel"/>
    <w:tmpl w:val="91F00CB2"/>
    <w:lvl w:ilvl="0" w:tplc="225697A2">
      <w:start w:val="1"/>
      <w:numFmt w:val="taiwaneseCountingThousand"/>
      <w:lvlText w:val="%1、"/>
      <w:lvlJc w:val="left"/>
      <w:pPr>
        <w:ind w:left="993" w:firstLine="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47606D"/>
    <w:multiLevelType w:val="multilevel"/>
    <w:tmpl w:val="99189342"/>
    <w:lvl w:ilvl="0">
      <w:start w:val="1"/>
      <w:numFmt w:val="taiwaneseCountingThousand"/>
      <w:pStyle w:val="a"/>
      <w:lvlText w:val="第%1條"/>
      <w:lvlJc w:val="left"/>
      <w:pPr>
        <w:ind w:left="851" w:hanging="851"/>
      </w:pPr>
      <w:rPr>
        <w:rFonts w:hint="default"/>
        <w:sz w:val="28"/>
        <w:lang w:val="en-US"/>
      </w:rPr>
    </w:lvl>
    <w:lvl w:ilvl="1">
      <w:start w:val="1"/>
      <w:numFmt w:val="taiwaneseCountingThousand"/>
      <w:lvlText w:val="%2、"/>
      <w:lvlJc w:val="left"/>
      <w:pPr>
        <w:tabs>
          <w:tab w:val="num" w:pos="1440"/>
        </w:tabs>
        <w:ind w:left="1887" w:hanging="447"/>
      </w:pPr>
      <w:rPr>
        <w:rFonts w:hint="default"/>
        <w:sz w:val="28"/>
        <w:lang w:val="en-US"/>
      </w:rPr>
    </w:lvl>
    <w:lvl w:ilvl="2">
      <w:start w:val="1"/>
      <w:numFmt w:val="decimalFullWidth"/>
      <w:suff w:val="nothing"/>
      <w:lvlText w:val="%3、"/>
      <w:lvlJc w:val="left"/>
      <w:pPr>
        <w:ind w:left="1826" w:hanging="737"/>
      </w:pPr>
      <w:rPr>
        <w:rFonts w:hint="eastAsia"/>
      </w:rPr>
    </w:lvl>
    <w:lvl w:ilvl="3">
      <w:start w:val="1"/>
      <w:numFmt w:val="decimalFullWidth"/>
      <w:suff w:val="nothing"/>
      <w:lvlText w:val="（%4）"/>
      <w:lvlJc w:val="left"/>
      <w:pPr>
        <w:ind w:left="2540" w:hanging="1089"/>
      </w:pPr>
      <w:rPr>
        <w:rFonts w:hint="eastAsia"/>
      </w:rPr>
    </w:lvl>
    <w:lvl w:ilvl="4">
      <w:start w:val="1"/>
      <w:numFmt w:val="ideographTraditional"/>
      <w:suff w:val="nothing"/>
      <w:lvlText w:val="%5、"/>
      <w:lvlJc w:val="left"/>
      <w:pPr>
        <w:ind w:left="2917" w:hanging="640"/>
      </w:pPr>
      <w:rPr>
        <w:rFonts w:hint="eastAsia"/>
      </w:rPr>
    </w:lvl>
    <w:lvl w:ilvl="5">
      <w:start w:val="1"/>
      <w:numFmt w:val="decimal"/>
      <w:lvlText w:val="%6)"/>
      <w:lvlJc w:val="left"/>
      <w:pPr>
        <w:tabs>
          <w:tab w:val="num" w:pos="2897"/>
        </w:tabs>
        <w:ind w:left="2897" w:hanging="1134"/>
      </w:pPr>
      <w:rPr>
        <w:rFonts w:hint="eastAsia"/>
      </w:rPr>
    </w:lvl>
    <w:lvl w:ilvl="6">
      <w:start w:val="1"/>
      <w:numFmt w:val="decimal"/>
      <w:lvlText w:val="(%7)"/>
      <w:lvlJc w:val="left"/>
      <w:pPr>
        <w:tabs>
          <w:tab w:val="num" w:pos="3464"/>
        </w:tabs>
        <w:ind w:left="3464" w:hanging="1276"/>
      </w:pPr>
      <w:rPr>
        <w:rFonts w:hint="eastAsia"/>
      </w:rPr>
    </w:lvl>
    <w:lvl w:ilvl="7">
      <w:start w:val="1"/>
      <w:numFmt w:val="lowerLetter"/>
      <w:lvlText w:val="%8."/>
      <w:lvlJc w:val="left"/>
      <w:pPr>
        <w:tabs>
          <w:tab w:val="num" w:pos="4031"/>
        </w:tabs>
        <w:ind w:left="4031" w:hanging="1418"/>
      </w:pPr>
      <w:rPr>
        <w:rFonts w:hint="eastAsia"/>
      </w:rPr>
    </w:lvl>
    <w:lvl w:ilvl="8">
      <w:start w:val="1"/>
      <w:numFmt w:val="lowerLetter"/>
      <w:lvlText w:val="%9)"/>
      <w:lvlJc w:val="left"/>
      <w:pPr>
        <w:tabs>
          <w:tab w:val="num" w:pos="4739"/>
        </w:tabs>
        <w:ind w:left="4739"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2295"/>
    <w:rsid w:val="00162295"/>
    <w:rsid w:val="00311F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2295"/>
    <w:pPr>
      <w:widowControl w:val="0"/>
    </w:pPr>
    <w:rPr>
      <w:rFonts w:ascii="Calibri" w:eastAsia="新細明體" w:hAnsi="Calibri"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next w:val="a5"/>
    <w:qFormat/>
    <w:rsid w:val="00162295"/>
    <w:pPr>
      <w:ind w:leftChars="200" w:left="480"/>
    </w:pPr>
  </w:style>
  <w:style w:type="paragraph" w:styleId="a5">
    <w:name w:val="No Spacing"/>
    <w:uiPriority w:val="1"/>
    <w:qFormat/>
    <w:rsid w:val="00162295"/>
    <w:pPr>
      <w:widowControl w:val="0"/>
    </w:pPr>
    <w:rPr>
      <w:rFonts w:ascii="Calibri" w:eastAsia="新細明體" w:hAnsi="Calibri" w:cs="Times New Roman"/>
    </w:rPr>
  </w:style>
  <w:style w:type="paragraph" w:customStyle="1" w:styleId="a">
    <w:name w:val="分項段落"/>
    <w:basedOn w:val="a0"/>
    <w:rsid w:val="00162295"/>
    <w:pPr>
      <w:numPr>
        <w:numId w:val="1"/>
      </w:numPr>
      <w:spacing w:line="360" w:lineRule="auto"/>
      <w:jc w:val="both"/>
      <w:textAlignment w:val="baseline"/>
    </w:pPr>
    <w:rPr>
      <w:rFonts w:ascii="Times New Roman" w:eastAsia="標楷體" w:hAnsi="Times New Roman"/>
      <w:noProof/>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518</Words>
  <Characters>2957</Characters>
  <Application>Microsoft Office Word</Application>
  <DocSecurity>0</DocSecurity>
  <Lines>24</Lines>
  <Paragraphs>6</Paragraphs>
  <ScaleCrop>false</ScaleCrop>
  <Company>Microsoft</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fa22690</dc:creator>
  <cp:lastModifiedBy>fa22690</cp:lastModifiedBy>
  <cp:revision>1</cp:revision>
  <dcterms:created xsi:type="dcterms:W3CDTF">2017-05-31T00:20:00Z</dcterms:created>
  <dcterms:modified xsi:type="dcterms:W3CDTF">2017-05-31T00:22:00Z</dcterms:modified>
</cp:coreProperties>
</file>